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96475"/>
      <w:bookmarkStart w:id="2" w:name="_Toc15377193"/>
      <w:bookmarkStart w:id="3" w:name="_Toc15377425"/>
      <w:bookmarkStart w:id="4" w:name="_Toc15396597"/>
      <w:bookmarkStart w:id="5" w:name="_Toc15306267"/>
      <w:bookmarkStart w:id="74" w:name="_GoBack"/>
      <w:bookmarkEnd w:id="74"/>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598"/>
      <w:bookmarkStart w:id="7" w:name="_Toc15378442"/>
      <w:bookmarkStart w:id="8" w:name="_Toc15377426"/>
      <w:bookmarkStart w:id="9" w:name="_Toc15377194"/>
      <w:bookmarkStart w:id="10" w:name="_Toc15396476"/>
      <w:bookmarkStart w:id="11" w:name="_Toc15306268"/>
      <w:r>
        <w:rPr>
          <w:rFonts w:hint="eastAsia" w:ascii="方正小标宋简体" w:hAnsi="方正小标宋简体" w:eastAsia="方正小标宋简体" w:cs="方正小标宋简体"/>
          <w:color w:val="auto"/>
          <w:sz w:val="72"/>
          <w:szCs w:val="72"/>
          <w:highlight w:val="none"/>
          <w:lang w:eastAsia="zh-CN"/>
        </w:rPr>
        <w:t>邻水县人民检察院</w:t>
      </w:r>
      <w:r>
        <w:rPr>
          <w:rFonts w:hint="eastAsia" w:ascii="方正小标宋简体" w:hAnsi="方正小标宋简体" w:eastAsia="方正小标宋简体" w:cs="方正小标宋简体"/>
          <w:color w:val="auto"/>
          <w:sz w:val="72"/>
          <w:szCs w:val="72"/>
          <w:highlight w:val="none"/>
          <w:lang w:val="en-US" w:eastAsia="zh-CN"/>
        </w:rPr>
        <w:t>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编制说明</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rPr>
          <w:color w:val="auto"/>
          <w:highlight w:val="none"/>
        </w:rPr>
      </w:pPr>
    </w:p>
    <w:p>
      <w:pPr>
        <w:pStyle w:val="11"/>
        <w:adjustRightInd w:val="0"/>
        <w:snapToGrid w:val="0"/>
        <w:spacing w:line="440" w:lineRule="exact"/>
        <w:jc w:val="left"/>
        <w:rPr>
          <w:rFonts w:hint="eastAsia"/>
          <w:color w:val="auto"/>
          <w:sz w:val="24"/>
          <w:highlight w:val="none"/>
        </w:rPr>
      </w:pPr>
    </w:p>
    <w:p>
      <w:pPr>
        <w:pStyle w:val="10"/>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第一部分</w:t>
      </w:r>
      <w:r>
        <w:rPr>
          <w:sz w:val="24"/>
        </w:rPr>
        <w:t xml:space="preserve"> </w:t>
      </w:r>
      <w:r>
        <w:rPr>
          <w:rFonts w:hint="eastAsia"/>
          <w:sz w:val="24"/>
        </w:rPr>
        <w:t>部门概况</w:t>
      </w:r>
      <w:r>
        <w:rPr>
          <w:rFonts w:hint="eastAsia" w:ascii="仿宋" w:hAnsi="仿宋" w:eastAsia="仿宋" w:cs="Times New Roman"/>
          <w:bCs/>
          <w:color w:val="000000"/>
          <w:kern w:val="0"/>
          <w:sz w:val="28"/>
          <w:szCs w:val="28"/>
          <w:lang w:val="en-US" w:eastAsia="zh-CN" w:bidi="ar-SA"/>
        </w:rPr>
        <w:tab/>
      </w:r>
      <w:bookmarkStart w:id="14" w:name="_Toc7050_WPSOffice_Level1Page"/>
      <w:r>
        <w:rPr>
          <w:rFonts w:hint="eastAsia" w:ascii="仿宋" w:hAnsi="仿宋" w:eastAsia="仿宋" w:cs="Times New Roman"/>
          <w:bCs/>
          <w:color w:val="000000"/>
          <w:kern w:val="0"/>
          <w:sz w:val="24"/>
          <w:szCs w:val="24"/>
          <w:lang w:val="en-US" w:eastAsia="zh-CN" w:bidi="ar-SA"/>
        </w:rPr>
        <w:t>4</w:t>
      </w:r>
      <w:bookmarkEnd w:id="14"/>
    </w:p>
    <w:p>
      <w:pPr>
        <w:pStyle w:val="11"/>
        <w:adjustRightInd w:val="0"/>
        <w:snapToGrid w:val="0"/>
        <w:spacing w:line="440" w:lineRule="exact"/>
        <w:jc w:val="left"/>
        <w:rPr>
          <w:rFonts w:ascii="仿宋" w:hAnsi="仿宋" w:eastAsia="仿宋"/>
          <w:sz w:val="24"/>
        </w:rPr>
      </w:pPr>
      <w:r>
        <w:rPr>
          <w:rFonts w:hint="eastAsia"/>
          <w:sz w:val="24"/>
        </w:rPr>
        <w:t>一、基本职能及主要工作</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二、机构设置</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9</w:t>
      </w:r>
    </w:p>
    <w:p>
      <w:pPr>
        <w:pStyle w:val="10"/>
        <w:adjustRightInd w:val="0"/>
        <w:snapToGrid w:val="0"/>
        <w:spacing w:before="0" w:line="440" w:lineRule="exact"/>
        <w:jc w:val="left"/>
        <w:rPr>
          <w:rFonts w:hint="default"/>
          <w:sz w:val="24"/>
          <w:szCs w:val="24"/>
          <w:lang w:val="en-US"/>
        </w:rPr>
      </w:pPr>
      <w:r>
        <w:rPr>
          <w:rFonts w:hint="eastAsia"/>
          <w:sz w:val="24"/>
        </w:rPr>
        <w:t>第二部分</w:t>
      </w:r>
      <w:r>
        <w:rPr>
          <w:rFonts w:hint="eastAsia"/>
          <w:sz w:val="24"/>
          <w:lang w:val="en-US" w:eastAsia="zh-CN"/>
        </w:rPr>
        <w:t xml:space="preserve"> </w:t>
      </w:r>
      <w:r>
        <w:rPr>
          <w:rFonts w:hint="eastAsia"/>
          <w:sz w:val="24"/>
        </w:rPr>
        <w:t>部门决算情况说明</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8"/>
          <w:szCs w:val="28"/>
          <w:lang w:val="en-US" w:eastAsia="zh-CN" w:bidi="ar-SA"/>
        </w:rPr>
        <w:t>10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10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10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11</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12</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13</w:t>
      </w:r>
    </w:p>
    <w:p>
      <w:pPr>
        <w:pStyle w:val="11"/>
        <w:adjustRightInd w:val="0"/>
        <w:snapToGrid w:val="0"/>
        <w:spacing w:line="440" w:lineRule="exact"/>
        <w:jc w:val="left"/>
        <w:rPr>
          <w:rFonts w:hint="default"/>
          <w:sz w:val="24"/>
          <w:lang w:val="en-US"/>
        </w:rPr>
      </w:pPr>
      <w:r>
        <w:rPr>
          <w:rFonts w:hint="eastAsia"/>
          <w:sz w:val="24"/>
        </w:rPr>
        <w:t>六、一般公共预算财政拨款基本支出决算情况说明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16</w:t>
      </w:r>
    </w:p>
    <w:p>
      <w:pPr>
        <w:pStyle w:val="11"/>
        <w:adjustRightInd w:val="0"/>
        <w:snapToGrid w:val="0"/>
        <w:spacing w:line="440" w:lineRule="exact"/>
        <w:jc w:val="left"/>
        <w:rPr>
          <w:rFonts w:hint="default"/>
          <w:lang w:val="en-US"/>
        </w:rPr>
      </w:pPr>
      <w:r>
        <w:rPr>
          <w:rFonts w:hint="eastAsia"/>
          <w:sz w:val="24"/>
          <w:lang w:eastAsia="zh-CN"/>
        </w:rPr>
        <w:t>七</w:t>
      </w:r>
      <w:r>
        <w:rPr>
          <w:rFonts w:hint="eastAsia"/>
          <w:sz w:val="24"/>
        </w:rPr>
        <w:t>、一般公共预算财政拨款</w:t>
      </w:r>
      <w:r>
        <w:rPr>
          <w:rFonts w:hint="eastAsia"/>
          <w:sz w:val="24"/>
          <w:lang w:eastAsia="zh-CN"/>
        </w:rPr>
        <w:t>项目</w:t>
      </w:r>
      <w:r>
        <w:rPr>
          <w:rFonts w:hint="eastAsia"/>
          <w:sz w:val="24"/>
        </w:rPr>
        <w:t>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17</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lang w:eastAsia="zh-CN"/>
        </w:rPr>
        <w:t>八</w:t>
      </w:r>
      <w:r>
        <w:rPr>
          <w:rFonts w:hint="eastAsia"/>
          <w:sz w:val="24"/>
        </w:rPr>
        <w:t>、</w:t>
      </w:r>
      <w:r>
        <w:rPr>
          <w:sz w:val="24"/>
        </w:rPr>
        <w:t>“</w:t>
      </w:r>
      <w:r>
        <w:rPr>
          <w:rFonts w:hint="eastAsia"/>
          <w:sz w:val="24"/>
        </w:rPr>
        <w:t>三公”经费财政拨款支出决算情况说明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17</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lang w:eastAsia="zh-CN"/>
        </w:rPr>
        <w:t>九</w:t>
      </w:r>
      <w:r>
        <w:rPr>
          <w:rFonts w:hint="eastAsia"/>
          <w:sz w:val="24"/>
        </w:rPr>
        <w:t>、政府性基金预算支出决算情况说明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21</w:t>
      </w:r>
    </w:p>
    <w:p>
      <w:pPr>
        <w:pStyle w:val="11"/>
        <w:adjustRightInd w:val="0"/>
        <w:snapToGrid w:val="0"/>
        <w:spacing w:line="440" w:lineRule="exact"/>
        <w:ind w:leftChars="0"/>
        <w:jc w:val="left"/>
        <w:rPr>
          <w:rFonts w:hint="default" w:ascii="仿宋" w:hAnsi="仿宋" w:eastAsia="仿宋"/>
          <w:sz w:val="24"/>
          <w:lang w:val="en-US"/>
        </w:rPr>
      </w:pPr>
      <w:r>
        <w:rPr>
          <w:rFonts w:hint="eastAsia" w:ascii="仿宋" w:hAnsi="仿宋" w:eastAsia="仿宋"/>
          <w:sz w:val="24"/>
          <w:lang w:eastAsia="zh-CN"/>
        </w:rPr>
        <w:t>十</w:t>
      </w:r>
      <w:r>
        <w:rPr>
          <w:rFonts w:hint="eastAsia" w:ascii="仿宋" w:hAnsi="仿宋" w:eastAsia="仿宋"/>
          <w:sz w:val="24"/>
        </w:rPr>
        <w:t>、</w:t>
      </w:r>
      <w:r>
        <w:rPr>
          <w:sz w:val="24"/>
        </w:rPr>
        <w:t xml:space="preserve"> 国</w:t>
      </w:r>
      <w:r>
        <w:rPr>
          <w:rFonts w:hint="eastAsia"/>
          <w:sz w:val="24"/>
        </w:rPr>
        <w:t>有资本经营预算支出决算情况说明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21</w:t>
      </w:r>
    </w:p>
    <w:p>
      <w:pPr>
        <w:pStyle w:val="11"/>
        <w:adjustRightInd w:val="0"/>
        <w:snapToGrid w:val="0"/>
        <w:spacing w:line="440" w:lineRule="exact"/>
        <w:jc w:val="left"/>
        <w:rPr>
          <w:rFonts w:hint="default"/>
          <w:sz w:val="24"/>
          <w:lang w:val="en-US" w:eastAsia="zh-CN"/>
        </w:rPr>
      </w:pPr>
      <w:r>
        <w:rPr>
          <w:rFonts w:hint="eastAsia"/>
          <w:sz w:val="24"/>
          <w:lang w:eastAsia="zh-CN"/>
        </w:rPr>
        <w:t>十一、其他重要事项的情况说明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21</w:t>
      </w:r>
    </w:p>
    <w:p>
      <w:pPr>
        <w:pStyle w:val="10"/>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8"/>
          <w:szCs w:val="28"/>
          <w:lang w:val="en-US" w:eastAsia="zh-CN" w:bidi="ar-SA"/>
        </w:rPr>
        <w:t>27</w:t>
      </w:r>
    </w:p>
    <w:p>
      <w:pPr>
        <w:pStyle w:val="10"/>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4"/>
          <w:szCs w:val="24"/>
          <w:lang w:val="en-US" w:eastAsia="zh-CN" w:bidi="ar-SA"/>
        </w:rPr>
        <w:t>30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附件</w:t>
      </w:r>
      <w:r>
        <w:rPr>
          <w:sz w:val="24"/>
        </w:rPr>
        <w:t>1</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30</w:t>
      </w:r>
    </w:p>
    <w:p>
      <w:pPr>
        <w:pStyle w:val="11"/>
        <w:adjustRightInd w:val="0"/>
        <w:snapToGrid w:val="0"/>
        <w:spacing w:line="440" w:lineRule="exact"/>
        <w:jc w:val="left"/>
        <w:rPr>
          <w:rFonts w:hint="eastAsia" w:ascii="仿宋" w:hAnsi="仿宋" w:eastAsia="仿宋" w:cs="Times New Roman"/>
          <w:bCs/>
          <w:color w:val="000000"/>
          <w:kern w:val="0"/>
          <w:sz w:val="28"/>
          <w:szCs w:val="28"/>
          <w:lang w:val="en-US" w:eastAsia="zh-CN" w:bidi="ar-SA"/>
        </w:rPr>
      </w:pPr>
      <w:r>
        <w:rPr>
          <w:rFonts w:hint="eastAsia"/>
          <w:sz w:val="24"/>
        </w:rPr>
        <w:t>附件</w:t>
      </w:r>
      <w:r>
        <w:rPr>
          <w:sz w:val="24"/>
        </w:rPr>
        <w:t>2</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33</w:t>
      </w:r>
    </w:p>
    <w:p>
      <w:pPr>
        <w:pStyle w:val="11"/>
        <w:adjustRightInd w:val="0"/>
        <w:snapToGrid w:val="0"/>
        <w:spacing w:line="440" w:lineRule="exact"/>
        <w:ind w:left="0" w:leftChars="0" w:firstLine="280" w:firstLineChars="100"/>
        <w:jc w:val="left"/>
        <w:rPr>
          <w:rFonts w:hint="default" w:ascii="仿宋" w:hAnsi="仿宋" w:eastAsia="仿宋" w:cstheme="minorBidi"/>
          <w:sz w:val="24"/>
          <w:lang w:val="en-US"/>
        </w:rPr>
      </w:pPr>
      <w:r>
        <w:rPr>
          <w:rFonts w:hint="eastAsia" w:ascii="仿宋" w:hAnsi="仿宋" w:eastAsia="仿宋" w:cs="Times New Roman"/>
          <w:bCs/>
          <w:color w:val="000000"/>
          <w:kern w:val="0"/>
          <w:sz w:val="28"/>
          <w:szCs w:val="28"/>
          <w:lang w:val="en-US" w:eastAsia="zh-CN" w:bidi="ar-SA"/>
        </w:rPr>
        <w:t xml:space="preserve"> </w:t>
      </w:r>
      <w:r>
        <w:rPr>
          <w:rFonts w:hint="eastAsia"/>
          <w:sz w:val="24"/>
        </w:rPr>
        <w:t>附件</w:t>
      </w:r>
      <w:r>
        <w:rPr>
          <w:rFonts w:hint="eastAsia"/>
          <w:sz w:val="24"/>
          <w:lang w:val="en-US" w:eastAsia="zh-CN"/>
        </w:rPr>
        <w:t>3</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47</w:t>
      </w:r>
    </w:p>
    <w:p>
      <w:pPr>
        <w:pStyle w:val="10"/>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二、</w:t>
      </w:r>
      <w:r>
        <w:rPr>
          <w:rFonts w:hint="eastAsia"/>
          <w:sz w:val="24"/>
        </w:rPr>
        <w:t>收入决算表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三、</w:t>
      </w:r>
      <w:r>
        <w:rPr>
          <w:rFonts w:hint="eastAsia"/>
          <w:sz w:val="24"/>
        </w:rPr>
        <w:t>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四、</w:t>
      </w:r>
      <w:r>
        <w:rPr>
          <w:rFonts w:hint="eastAsia"/>
          <w:sz w:val="24"/>
        </w:rPr>
        <w:t>财政拨款收入支出决算总表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五、</w:t>
      </w:r>
      <w:r>
        <w:rPr>
          <w:rFonts w:hint="eastAsia"/>
          <w:sz w:val="24"/>
        </w:rPr>
        <w:t>财政拨款支出决算明细表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六、</w:t>
      </w:r>
      <w:r>
        <w:rPr>
          <w:rFonts w:hint="eastAsia"/>
          <w:sz w:val="24"/>
        </w:rPr>
        <w:t>一般公共预算财政拨款支出决算表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七、</w:t>
      </w:r>
      <w:r>
        <w:rPr>
          <w:rFonts w:hint="eastAsia"/>
          <w:sz w:val="24"/>
        </w:rPr>
        <w:t>一般公共预算财政拨款支出决算明细表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八、</w:t>
      </w:r>
      <w:r>
        <w:rPr>
          <w:rFonts w:hint="eastAsia"/>
          <w:sz w:val="24"/>
        </w:rPr>
        <w:t>一般公共预算财政拨款基本支出决算表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九、</w:t>
      </w:r>
      <w:r>
        <w:rPr>
          <w:rFonts w:hint="eastAsia"/>
          <w:sz w:val="24"/>
        </w:rPr>
        <w:t>一般公共预算财政拨款项目支出决算表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w:t>
      </w:r>
      <w:r>
        <w:rPr>
          <w:rFonts w:hint="eastAsia"/>
          <w:sz w:val="24"/>
        </w:rPr>
        <w:t>一般公共预算财政拨款“三公”经费支出决算表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十一、</w:t>
      </w:r>
      <w:r>
        <w:rPr>
          <w:rFonts w:hint="eastAsia"/>
          <w:sz w:val="24"/>
        </w:rPr>
        <w:t>政府性基金预算财政拨款收入支出决算表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十二、</w:t>
      </w:r>
      <w:r>
        <w:rPr>
          <w:rFonts w:hint="eastAsia"/>
          <w:sz w:val="24"/>
        </w:rPr>
        <w:t>政府性基金预算财政拨款“三公”经费支出决算表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十三、</w:t>
      </w:r>
      <w:r>
        <w:rPr>
          <w:rFonts w:hint="eastAsia"/>
          <w:sz w:val="24"/>
        </w:rPr>
        <w:t>国有资本经营预算财政拨款收入支出决算表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十四、</w:t>
      </w:r>
      <w:r>
        <w:rPr>
          <w:rFonts w:hint="eastAsia"/>
          <w:sz w:val="24"/>
        </w:rPr>
        <w:t>国有资本经营预算财政拨款支出决算表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8"/>
          <w:szCs w:val="28"/>
          <w:lang w:val="en-US" w:eastAsia="zh-CN" w:bidi="ar-SA"/>
        </w:rPr>
        <w:t>51</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rPr>
          <w:rStyle w:val="27"/>
          <w:rFonts w:ascii="仿宋" w:hAnsi="仿宋" w:eastAsia="仿宋"/>
          <w:b w:val="0"/>
          <w:bCs w:val="0"/>
          <w:color w:val="auto"/>
          <w:highlight w:val="none"/>
        </w:rPr>
      </w:pPr>
      <w:bookmarkStart w:id="15" w:name="_Toc15396600"/>
      <w:bookmarkStart w:id="16"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5"/>
      <w:bookmarkEnd w:id="16"/>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7" w:name="_Toc15378445"/>
      <w:bookmarkStart w:id="18" w:name="_Toc15377198"/>
      <w:r>
        <w:rPr>
          <w:rFonts w:hint="eastAsia" w:ascii="仿宋" w:hAnsi="仿宋" w:eastAsia="仿宋"/>
          <w:bCs/>
          <w:color w:val="auto"/>
          <w:sz w:val="32"/>
          <w:szCs w:val="32"/>
          <w:highlight w:val="none"/>
        </w:rPr>
        <w:t>（一）主要职能。</w:t>
      </w:r>
    </w:p>
    <w:bookmarkEnd w:id="17"/>
    <w:bookmarkEnd w:id="18"/>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bookmarkStart w:id="19" w:name="_Toc15377199"/>
      <w:bookmarkStart w:id="20" w:name="_Toc15378446"/>
      <w:r>
        <w:rPr>
          <w:rFonts w:hint="default" w:ascii="Times New Roman" w:hAnsi="Times New Roman" w:eastAsia="MicrosoftYaHei" w:cs="Times New Roman"/>
          <w:i w:val="0"/>
          <w:iCs w:val="0"/>
          <w:caps w:val="0"/>
          <w:color w:val="000000"/>
          <w:spacing w:val="0"/>
          <w:sz w:val="33"/>
          <w:szCs w:val="33"/>
          <w:shd w:val="clear" w:color="auto" w:fill="FFFFFF"/>
        </w:rPr>
        <w:t>1.</w:t>
      </w:r>
      <w:r>
        <w:rPr>
          <w:rFonts w:hint="default" w:ascii="仿宋_GB2312" w:hAnsi="Times New Roman" w:eastAsia="仿宋_GB2312" w:cs="仿宋_GB2312"/>
          <w:i w:val="0"/>
          <w:iCs w:val="0"/>
          <w:caps w:val="0"/>
          <w:color w:val="000000"/>
          <w:spacing w:val="0"/>
          <w:sz w:val="33"/>
          <w:szCs w:val="33"/>
          <w:shd w:val="clear" w:color="auto" w:fill="FFFFFF"/>
        </w:rPr>
        <w:t>深入贯彻习近平新时代中国特色社会主义思想，深入贯彻党的路线方针政策和决策部署，统一检察机关思想和行动，坚持党对检察工作的绝对领导，坚决维护习近平总书记的核心地位，坚决维护党中央权威和集中统一领导，围绕中心，服务大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MicrosoftYaHei" w:cs="Times New Roman"/>
          <w:i w:val="0"/>
          <w:iCs w:val="0"/>
          <w:caps w:val="0"/>
          <w:color w:val="000000"/>
          <w:spacing w:val="0"/>
          <w:sz w:val="33"/>
          <w:szCs w:val="33"/>
          <w:shd w:val="clear" w:color="auto" w:fill="FFFFFF"/>
        </w:rPr>
        <w:t>2.</w:t>
      </w:r>
      <w:r>
        <w:rPr>
          <w:rFonts w:hint="default" w:ascii="仿宋_GB2312" w:hAnsi="Times New Roman" w:eastAsia="仿宋_GB2312" w:cs="仿宋_GB2312"/>
          <w:i w:val="0"/>
          <w:iCs w:val="0"/>
          <w:caps w:val="0"/>
          <w:color w:val="000000"/>
          <w:spacing w:val="0"/>
          <w:sz w:val="33"/>
          <w:szCs w:val="33"/>
          <w:shd w:val="clear" w:color="auto" w:fill="FFFFFF"/>
        </w:rPr>
        <w:t>对邻水县人民代表大会及其常务委员会负责并报告工作。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MicrosoftYaHei" w:cs="Times New Roman"/>
          <w:i w:val="0"/>
          <w:iCs w:val="0"/>
          <w:caps w:val="0"/>
          <w:color w:val="000000"/>
          <w:spacing w:val="0"/>
          <w:sz w:val="33"/>
          <w:szCs w:val="33"/>
          <w:shd w:val="clear" w:color="auto" w:fill="FFFFFF"/>
        </w:rPr>
        <w:t>3.</w:t>
      </w:r>
      <w:r>
        <w:rPr>
          <w:rFonts w:hint="default" w:ascii="仿宋_GB2312" w:hAnsi="Times New Roman" w:eastAsia="仿宋_GB2312" w:cs="仿宋_GB2312"/>
          <w:i w:val="0"/>
          <w:iCs w:val="0"/>
          <w:caps w:val="0"/>
          <w:color w:val="000000"/>
          <w:spacing w:val="0"/>
          <w:sz w:val="33"/>
          <w:szCs w:val="33"/>
          <w:shd w:val="clear" w:color="auto" w:fill="FFFFFF"/>
        </w:rPr>
        <w:t>认真执行最高人民检察院确定的工作方针，按时完成上级人民检察院部署的各项工作任务。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MicrosoftYaHei" w:cs="Times New Roman"/>
          <w:i w:val="0"/>
          <w:iCs w:val="0"/>
          <w:caps w:val="0"/>
          <w:color w:val="000000"/>
          <w:spacing w:val="0"/>
          <w:sz w:val="33"/>
          <w:szCs w:val="33"/>
          <w:shd w:val="clear" w:color="auto" w:fill="FFFFFF"/>
        </w:rPr>
        <w:t>4.</w:t>
      </w:r>
      <w:r>
        <w:rPr>
          <w:rFonts w:hint="default" w:ascii="仿宋_GB2312" w:hAnsi="Times New Roman" w:eastAsia="仿宋_GB2312" w:cs="仿宋_GB2312"/>
          <w:i w:val="0"/>
          <w:iCs w:val="0"/>
          <w:caps w:val="0"/>
          <w:color w:val="000000"/>
          <w:spacing w:val="0"/>
          <w:sz w:val="33"/>
          <w:szCs w:val="33"/>
          <w:shd w:val="clear" w:color="auto" w:fill="FFFFFF"/>
        </w:rPr>
        <w:t>对刑事案件依法审查批准逮捕，决定逮捕，审查起诉，提起公诉，并对公安机关的立案活动和侦查活动进行监督。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000000"/>
          <w:spacing w:val="0"/>
          <w:sz w:val="33"/>
          <w:szCs w:val="33"/>
          <w:shd w:val="clear" w:color="auto" w:fill="FFFFFF"/>
        </w:rPr>
        <w:t>5</w:t>
      </w:r>
      <w:r>
        <w:rPr>
          <w:rFonts w:hint="default" w:ascii="仿宋_GB2312" w:hAnsi="Times New Roman" w:eastAsia="仿宋_GB2312" w:cs="仿宋_GB2312"/>
          <w:i w:val="0"/>
          <w:iCs w:val="0"/>
          <w:caps w:val="0"/>
          <w:color w:val="000000"/>
          <w:spacing w:val="0"/>
          <w:sz w:val="33"/>
          <w:szCs w:val="33"/>
          <w:shd w:val="clear" w:color="auto" w:fill="FFFFFF"/>
        </w:rPr>
        <w:t>.刑事案件判决、裁定及执行监督；对行政机关违法行使职权或不作为进行检察监督，依法提起行政公益诉讼。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MicrosoftYaHei" w:cs="Times New Roman"/>
          <w:i w:val="0"/>
          <w:iCs w:val="0"/>
          <w:caps w:val="0"/>
          <w:color w:val="000000"/>
          <w:spacing w:val="0"/>
          <w:sz w:val="33"/>
          <w:szCs w:val="33"/>
          <w:shd w:val="clear" w:color="auto" w:fill="FFFFFF"/>
        </w:rPr>
        <w:t>6.</w:t>
      </w:r>
      <w:r>
        <w:rPr>
          <w:rFonts w:hint="default" w:ascii="仿宋_GB2312" w:hAnsi="Times New Roman" w:eastAsia="仿宋_GB2312" w:cs="仿宋_GB2312"/>
          <w:i w:val="0"/>
          <w:iCs w:val="0"/>
          <w:caps w:val="0"/>
          <w:color w:val="000000"/>
          <w:spacing w:val="0"/>
          <w:sz w:val="33"/>
          <w:szCs w:val="33"/>
          <w:shd w:val="clear" w:color="auto" w:fill="FFFFFF"/>
        </w:rPr>
        <w:t>负责对监狱、看守所执法活动的法律监督。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Times New Roman" w:hAnsi="Times New Roman" w:cs="Times New Roman"/>
          <w:sz w:val="21"/>
          <w:szCs w:val="21"/>
        </w:rPr>
      </w:pPr>
      <w:r>
        <w:rPr>
          <w:rFonts w:hint="default" w:ascii="Times New Roman" w:hAnsi="Times New Roman" w:eastAsia="MicrosoftYaHei" w:cs="Times New Roman"/>
          <w:i w:val="0"/>
          <w:iCs w:val="0"/>
          <w:caps w:val="0"/>
          <w:color w:val="000000"/>
          <w:spacing w:val="0"/>
          <w:sz w:val="33"/>
          <w:szCs w:val="33"/>
          <w:shd w:val="clear" w:color="auto" w:fill="FFFFFF"/>
        </w:rPr>
        <w:t>7.</w:t>
      </w:r>
      <w:r>
        <w:rPr>
          <w:rFonts w:hint="default" w:ascii="仿宋_GB2312" w:hAnsi="Times New Roman" w:eastAsia="仿宋_GB2312" w:cs="仿宋_GB2312"/>
          <w:i w:val="0"/>
          <w:iCs w:val="0"/>
          <w:caps w:val="0"/>
          <w:color w:val="000000"/>
          <w:spacing w:val="0"/>
          <w:sz w:val="33"/>
          <w:szCs w:val="33"/>
          <w:shd w:val="clear" w:color="auto" w:fill="FFFFFF"/>
        </w:rPr>
        <w:t>负责受理控告、申诉。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rPr>
      </w:pPr>
      <w:r>
        <w:rPr>
          <w:rFonts w:hint="default" w:ascii="仿宋_GB2312" w:hAnsi="Times New Roman" w:eastAsia="仿宋_GB2312" w:cs="仿宋_GB2312"/>
          <w:i w:val="0"/>
          <w:iCs w:val="0"/>
          <w:caps w:val="0"/>
          <w:color w:val="000000"/>
          <w:spacing w:val="0"/>
          <w:sz w:val="33"/>
          <w:szCs w:val="33"/>
          <w:shd w:val="clear" w:color="auto" w:fill="FFFFFF"/>
        </w:rPr>
        <w:t>8.负责检察技术工作和物证检验、鉴定和审核工作。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rPr>
      </w:pPr>
      <w:r>
        <w:rPr>
          <w:rFonts w:hint="default" w:ascii="仿宋_GB2312" w:hAnsi="Times New Roman" w:eastAsia="仿宋_GB2312" w:cs="仿宋_GB2312"/>
          <w:i w:val="0"/>
          <w:iCs w:val="0"/>
          <w:caps w:val="0"/>
          <w:color w:val="000000"/>
          <w:spacing w:val="0"/>
          <w:sz w:val="33"/>
          <w:szCs w:val="33"/>
          <w:shd w:val="clear" w:color="auto" w:fill="FFFFFF"/>
        </w:rPr>
        <w:t>9.负责对检察机关的政策法律理论和具体法律应用问题的调查研究。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rPr>
      </w:pPr>
      <w:r>
        <w:rPr>
          <w:rFonts w:hint="default" w:ascii="仿宋_GB2312" w:hAnsi="Times New Roman" w:eastAsia="仿宋_GB2312" w:cs="仿宋_GB2312"/>
          <w:i w:val="0"/>
          <w:iCs w:val="0"/>
          <w:caps w:val="0"/>
          <w:color w:val="000000"/>
          <w:spacing w:val="0"/>
          <w:sz w:val="33"/>
          <w:szCs w:val="33"/>
          <w:shd w:val="clear" w:color="auto" w:fill="FFFFFF"/>
        </w:rPr>
        <w:t>10.负责本院队伍建设和思想政治工作，开展检务督查工作。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rPr>
      </w:pPr>
      <w:r>
        <w:rPr>
          <w:rFonts w:hint="default" w:ascii="仿宋_GB2312" w:hAnsi="Times New Roman" w:eastAsia="仿宋_GB2312" w:cs="仿宋_GB2312"/>
          <w:i w:val="0"/>
          <w:iCs w:val="0"/>
          <w:caps w:val="0"/>
          <w:color w:val="000000"/>
          <w:spacing w:val="0"/>
          <w:sz w:val="33"/>
          <w:szCs w:val="33"/>
          <w:shd w:val="clear" w:color="auto" w:fill="FFFFFF"/>
        </w:rPr>
        <w:t>11.负责本院计划财务装备工作。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rPr>
      </w:pPr>
      <w:r>
        <w:rPr>
          <w:rFonts w:hint="default" w:ascii="仿宋_GB2312" w:hAnsi="Times New Roman" w:eastAsia="仿宋_GB2312" w:cs="仿宋_GB2312"/>
          <w:i w:val="0"/>
          <w:iCs w:val="0"/>
          <w:caps w:val="0"/>
          <w:color w:val="000000"/>
          <w:spacing w:val="0"/>
          <w:sz w:val="33"/>
          <w:szCs w:val="33"/>
          <w:shd w:val="clear" w:color="auto" w:fill="FFFFFF"/>
        </w:rPr>
        <w:t>12.负责其他应当由本院承办的事项。</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9"/>
      <w:bookmarkEnd w:id="20"/>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【服务中心大局】</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助力降低金融风险，起诉破坏金融秩序类犯罪9人；巩固拓展脱贫攻坚成果同乡村振兴有效衔接，对9名贫困被害人发放司法救助金8.5万元；保卫蓝天碧水净土，起诉破坏生态环境资源犯罪24人，办理生态环境和资源保护刑事附带民事公益诉讼案件19件，督促当事人缴纳生态环境修复费20余万元，增殖放流鱼苗70万尾。努力净化市场环境，批捕危害社会主义市场经济秩序类犯罪6人，起诉20人；平等保护民营企业，对2名民营企业负责人作相对不诉处理；护航民营经济发展，出台《关于充分发挥检察职能依法保障民营经济健康发展的意见》；构建亲清政商关系，协同巩固良好政治生态，起诉职务犯罪7人。融入成渝地区双城经济圈建设，联合长寿区检察院</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在大洪湖建立公益增殖放流基地</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开展巡河湖执法、调查取证等21次，开展生态环境保护、禁渔禁捕法治宣传3次，移送公益诉讼案件线索4件，携手守护长江上游生态屏障；与重庆市渝北区检察院签订《检察协作框架协议》，联合成立川渝高竹新区检察服务中心，为</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新区高质量发展</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提供法治保障</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【维护和谐稳定】</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批捕各类刑事犯罪177人，起诉444人。确保群众人身安全，批捕暴力性犯罪25人，起诉35人；保障群众财产安全，批捕多发性侵财犯罪52人，起诉105人；积极参与“断卡行动”，批捕涉电诈犯</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罪</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17</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人</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、起诉52人；净化社会治安环境，批捕寻衅滋事、“黄、赌、毒”犯罪50人，起诉121人。</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【护航未成年人】</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szCs w:val="33"/>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严厉打击侵害未成年人权益犯罪，批捕23人，起诉25人；依法惩戒涉罪未成年人，批捕14人、起诉15人。坚持对涉罪未成年人精准帮教、少捕慎诉，不捕23人、相对不起诉6人、附条件不起诉15人。贯彻强制报告制度，推动召开邻水县侵害未成年人强制报告工作联席会，将制度落实情况纳入“平安邻水”建设考核任务。抓好未成年人被害预防工作，常态化开展校园法治宣传活动50余场次，模拟法庭7次，检察开放日活动2次。</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【助推</w:t>
      </w:r>
      <w:r>
        <w:rPr>
          <w:rFonts w:hint="eastAsia" w:ascii="Times New Roman" w:hAnsi="Times New Roman" w:eastAsia="方正楷体_GBK"/>
          <w:b/>
          <w:bCs/>
          <w:sz w:val="33"/>
          <w:szCs w:val="33"/>
        </w:rPr>
        <w:t>社会治理</w:t>
      </w:r>
      <w:r>
        <w:rPr>
          <w:rFonts w:hint="eastAsia" w:ascii="Times New Roman" w:hAnsi="Times New Roman" w:eastAsia="方正楷体_GBK"/>
          <w:b/>
          <w:bCs/>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以检察建议助推社会治理，发出综合检察建议12件，均得到有效落实。以检察办案保护群众切身利益，办理的广安银丰元投资管理有限公司非法吸收公众存款案，追回融资款280余万元，获得省院表扬。以公益诉讼守护群众“脚底下的安全”，开展窨井盖专项整治，督促相关部门修复窨井盖64个、盲道50余处。以检察履职提升法治意识，做好化解矛盾，妥善处理</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群众来信、来访142件次</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化解重复信访案件8件</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；强化普法宣传，开展各类法治宣传60余次，发放宣传资料20000余份。</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【强化检察监督】</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pacing w:val="-4"/>
          <w:sz w:val="33"/>
          <w:szCs w:val="33"/>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强化立案监督和侦查活动监督，监督立案7件、撤案14件，纠正漏捕7人，追诉漏犯16人，书面纠正侦查活动16件；开展</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撤回和退查不重报案件专项监督试点工作</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得到</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最高检领导</w:t>
      </w:r>
      <w:r>
        <w:rPr>
          <w:rFonts w:hint="default" w:ascii="仿宋_GB2312" w:hAnsi="Times New Roman" w:eastAsia="仿宋_GB2312" w:cs="仿宋_GB2312"/>
          <w:i w:val="0"/>
          <w:iCs w:val="0"/>
          <w:caps w:val="0"/>
          <w:color w:val="000000"/>
          <w:spacing w:val="0"/>
          <w:kern w:val="0"/>
          <w:sz w:val="33"/>
          <w:szCs w:val="33"/>
          <w:shd w:val="clear" w:color="auto" w:fill="FFFFFF"/>
          <w:lang w:val="en-US" w:eastAsia="zh-CN" w:bidi="ar"/>
        </w:rPr>
        <w:t>的肯定批示。</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强化审判活动监督，书面纠正审判活动3件，提起抗诉4件，周某窝藏毒品抗诉案被最高检列入典型案例。强化刑事执行活动监督，办理羁押必要性审查25件，书面纠正监管场所监管活动5人次，书面纠正监外执行5人次，开展财产刑执行检察监督2件。强化司法工作人员渎职犯罪活动侦查，办理1件2人。办结民事检察监督案件29件，刘某合伙协议纠纷审判程序监督案被评为全省典型案例。办理行政检察监督案件24件，移送行政机关行政处罚12件，监督行政机关移送刑事立案6件，督促公安机关立案7件；办理行政争议实质性化解案件2件。强化公益诉讼检察监督，发出诉前检察建议及公告</w:t>
      </w:r>
      <w:r>
        <w:rPr>
          <w:rFonts w:hint="eastAsia" w:ascii="仿宋_GB2312" w:eastAsia="仿宋_GB2312" w:cs="仿宋_GB2312"/>
          <w:i w:val="0"/>
          <w:iCs w:val="0"/>
          <w:caps w:val="0"/>
          <w:color w:val="000000"/>
          <w:spacing w:val="0"/>
          <w:kern w:val="0"/>
          <w:sz w:val="33"/>
          <w:szCs w:val="33"/>
          <w:shd w:val="clear" w:color="auto" w:fill="FFFFFF"/>
          <w:lang w:val="en-US" w:eastAsia="zh-CN" w:bidi="ar"/>
        </w:rPr>
        <w:t>51</w:t>
      </w: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份，提起行政公益诉讼1件，提起刑事附带民事公益诉讼3件，办理刑事附带民事公益诉讼诉前和解16件。</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【锻造检察铁军】</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坚持党对检察工作的绝对领导，请示报告重大案、事件32件次；深入开展党史学习教育，党组中心组政治理论学习13次，干警开展政治学习、党史学习35次，开展党建活动20场次；严格落实意识形态工作责任制，党组分析研判意识形态工作4次，向上级党委（党组）汇报4次。强化党风廉政建设“一岗双责”，党组听取和研究党风廉政建设工作4次，机关纪委开展纪律巡查12次；扎实开展政法队伍教育整顿，开展廉政警示教育、政策宣讲30余场次，全覆盖多轮次开展谈心谈话600余人次，发现并整改顽瘴痼疾问题57个，健全完善制度28项；严格检察办案纪律，开展检务督察8次，干警记录填报重大事项35件次。强化业务能力培训，检委会开展集体学习6次，干警参加各类专题培训班45期；坚持专业人才培养，7人被县法学会纳入法学法律专家库；强化综合能力提升，干警撰写调研文章被国家级刊物采用3篇、省级刊物采用3篇，侵害未成年人案件强制报告制度课题成为全省唯一一项被最高检纳入重点调研课题；撰写宣传稿件被国家级媒体采用18篇，省级媒体采用40篇。</w:t>
      </w:r>
    </w:p>
    <w:p>
      <w:pPr>
        <w:pStyle w:val="2"/>
        <w:adjustRightInd w:val="0"/>
        <w:snapToGrid w:val="0"/>
        <w:spacing w:before="93" w:line="600" w:lineRule="exact"/>
        <w:ind w:firstLine="693" w:firstLineChars="210"/>
        <w:outlineLvl w:val="2"/>
        <w:rPr>
          <w:rFonts w:hint="eastAsia" w:ascii="Times New Roman" w:hAnsi="Times New Roman" w:eastAsia="方正楷体_GBK"/>
          <w:b/>
          <w:bCs/>
          <w:sz w:val="33"/>
          <w:szCs w:val="33"/>
          <w:lang w:eastAsia="zh-CN"/>
        </w:rPr>
      </w:pPr>
      <w:r>
        <w:rPr>
          <w:rFonts w:hint="eastAsia" w:ascii="Times New Roman" w:hAnsi="Times New Roman" w:eastAsia="方正楷体_GBK"/>
          <w:b/>
          <w:bCs/>
          <w:sz w:val="33"/>
          <w:szCs w:val="33"/>
          <w:lang w:eastAsia="zh-CN"/>
        </w:rPr>
        <w:t>【深化检务公开】</w:t>
      </w:r>
    </w:p>
    <w:p>
      <w:pPr>
        <w:pStyle w:val="2"/>
        <w:adjustRightInd w:val="0"/>
        <w:snapToGrid w:val="0"/>
        <w:spacing w:before="93" w:line="600" w:lineRule="exact"/>
        <w:ind w:firstLine="693" w:firstLineChars="210"/>
        <w:outlineLvl w:val="2"/>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3"/>
          <w:szCs w:val="33"/>
          <w:shd w:val="clear" w:color="auto" w:fill="FFFFFF"/>
          <w:lang w:val="en-US" w:eastAsia="zh-CN" w:bidi="ar"/>
        </w:rPr>
        <w:t>向县人大常委会报告工作2次，接受县人大常委会调研2次；向县政协通报检察工作1次，接受县政协调研2次；走访代表、委员30余人次，邀请代表、委员参加检察活动42人次。邀请人民监督员监督检察办案活动8次，开展检察公开听证42件次。通过微信、微博、门户网站、短信等发布检察信息210条，公开案件程序性信息1200余条，法律文书490份，重要案件信息35条。</w:t>
      </w:r>
    </w:p>
    <w:p>
      <w:pPr>
        <w:pStyle w:val="4"/>
        <w:pageBreakBefore w:val="0"/>
        <w:kinsoku/>
        <w:wordWrap/>
        <w:overflowPunct/>
        <w:topLinePunct w:val="0"/>
        <w:autoSpaceDE/>
        <w:autoSpaceDN/>
        <w:bidi w:val="0"/>
        <w:adjustRightInd/>
        <w:snapToGrid/>
        <w:spacing w:before="0" w:after="0"/>
        <w:ind w:firstLine="640" w:firstLineChars="200"/>
        <w:textAlignment w:val="auto"/>
        <w:rPr>
          <w:rStyle w:val="27"/>
          <w:b w:val="0"/>
          <w:bCs w:val="0"/>
          <w:color w:val="auto"/>
          <w:highlight w:val="none"/>
        </w:rPr>
      </w:pPr>
      <w:bookmarkStart w:id="21" w:name="_Toc15377200"/>
      <w:bookmarkStart w:id="22"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1"/>
      <w:bookmarkEnd w:id="22"/>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660"/>
        <w:jc w:val="both"/>
        <w:textAlignment w:val="auto"/>
        <w:rPr>
          <w:rFonts w:hint="default" w:ascii="仿宋_GB2312" w:hAnsi="Times New Roman" w:eastAsia="仿宋_GB2312" w:cs="仿宋_GB2312"/>
          <w:i w:val="0"/>
          <w:iCs w:val="0"/>
          <w:caps w:val="0"/>
          <w:color w:val="000000"/>
          <w:spacing w:val="0"/>
          <w:sz w:val="33"/>
          <w:szCs w:val="33"/>
          <w:shd w:val="clear" w:color="auto" w:fill="FFFFFF"/>
        </w:rPr>
      </w:pPr>
      <w:r>
        <w:rPr>
          <w:rFonts w:hint="eastAsia" w:ascii="仿宋_GB2312" w:hAnsi="Times New Roman" w:eastAsia="仿宋_GB2312" w:cs="仿宋_GB2312"/>
          <w:i w:val="0"/>
          <w:iCs w:val="0"/>
          <w:caps w:val="0"/>
          <w:color w:val="000000"/>
          <w:spacing w:val="0"/>
          <w:sz w:val="33"/>
          <w:szCs w:val="33"/>
          <w:shd w:val="clear" w:color="auto" w:fill="FFFFFF"/>
          <w:lang w:eastAsia="zh-CN"/>
        </w:rPr>
        <w:t>内设部门</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8个，分别为第一检察部，第二检察部，第三检察部（含派驻看守所检察室），第四检察部，第五检察部，综合业务部，政治部，办公室，</w:t>
      </w:r>
      <w:r>
        <w:rPr>
          <w:rFonts w:hint="eastAsia" w:ascii="仿宋_GB2312" w:hAnsi="Times New Roman" w:eastAsia="仿宋_GB2312" w:cs="仿宋_GB2312"/>
          <w:i w:val="0"/>
          <w:iCs w:val="0"/>
          <w:caps w:val="0"/>
          <w:color w:val="000000"/>
          <w:spacing w:val="0"/>
          <w:sz w:val="33"/>
          <w:szCs w:val="33"/>
          <w:shd w:val="clear" w:color="auto" w:fill="FFFFFF"/>
          <w:lang w:eastAsia="zh-CN"/>
        </w:rPr>
        <w:t>无</w:t>
      </w:r>
      <w:r>
        <w:rPr>
          <w:rFonts w:hint="default" w:ascii="仿宋_GB2312" w:hAnsi="Times New Roman" w:eastAsia="仿宋_GB2312" w:cs="仿宋_GB2312"/>
          <w:i w:val="0"/>
          <w:iCs w:val="0"/>
          <w:caps w:val="0"/>
          <w:color w:val="000000"/>
          <w:spacing w:val="0"/>
          <w:sz w:val="33"/>
          <w:szCs w:val="33"/>
          <w:shd w:val="clear" w:color="auto" w:fill="FFFFFF"/>
        </w:rPr>
        <w:t>下属二级单位。</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23" w:name="_Toc15377204"/>
      <w:bookmarkStart w:id="24"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3"/>
      <w:bookmarkEnd w:id="24"/>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5" w:name="_Toc15377205"/>
      <w:bookmarkStart w:id="26"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5"/>
      <w:bookmarkEnd w:id="26"/>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年度收、支总计1990.12万元</w:t>
      </w:r>
      <w:r>
        <w:rPr>
          <w:rFonts w:hint="eastAsia" w:ascii="仿宋" w:hAnsi="仿宋" w:eastAsia="仿宋"/>
          <w:color w:val="auto"/>
          <w:sz w:val="32"/>
          <w:szCs w:val="32"/>
          <w:highlight w:val="none"/>
          <w:lang w:eastAsia="zh-CN"/>
        </w:rPr>
        <w:t>（含结转收支）</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136.83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：一是还原向县财政借款</w:t>
      </w:r>
      <w:r>
        <w:rPr>
          <w:rFonts w:hint="eastAsia" w:ascii="仿宋" w:hAnsi="仿宋" w:eastAsia="仿宋"/>
          <w:color w:val="auto"/>
          <w:sz w:val="32"/>
          <w:szCs w:val="32"/>
          <w:highlight w:val="none"/>
          <w:lang w:val="en-US" w:eastAsia="zh-CN"/>
        </w:rPr>
        <w:t>70.5万，二是增加档案数字化建设支出65.9万元。</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8"/>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r>
        <w:drawing>
          <wp:inline distT="0" distB="0" distL="114300" distR="114300">
            <wp:extent cx="4993640" cy="3176905"/>
            <wp:effectExtent l="0" t="0" r="16510" b="4445"/>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7"/>
                    <a:stretch>
                      <a:fillRect/>
                    </a:stretch>
                  </pic:blipFill>
                  <pic:spPr>
                    <a:xfrm>
                      <a:off x="0" y="0"/>
                      <a:ext cx="4993640" cy="3176905"/>
                    </a:xfrm>
                    <a:prstGeom prst="rect">
                      <a:avLst/>
                    </a:prstGeom>
                    <a:extLst>
                      <wpswe:webExtensionRef xmlns:wpswe="http://www.wps.cn/officeDocument/2018/webExtension" r:id="rId6"/>
                    </a:extLst>
                  </pic:spPr>
                </pic:pic>
              </a:graphicData>
            </a:graphic>
          </wp:inline>
        </w:drawing>
      </w:r>
    </w:p>
    <w:p>
      <w:pPr>
        <w:pStyle w:val="8"/>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7" w:name="_Toc15377206"/>
      <w:bookmarkStart w:id="28"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7"/>
      <w:bookmarkEnd w:id="28"/>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年本年收入合计1849.94万元，其中：一般公共预算财政拨款收入1849.94万元，占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8"/>
        <w:rPr>
          <w:rFonts w:hint="eastAsia" w:ascii="仿宋" w:hAnsi="仿宋" w:eastAsia="仿宋"/>
          <w:color w:val="auto"/>
          <w:sz w:val="32"/>
          <w:szCs w:val="32"/>
          <w:highlight w:val="none"/>
        </w:rPr>
      </w:pPr>
    </w:p>
    <w:p>
      <w:pPr>
        <w:jc w:val="center"/>
        <w:rPr>
          <w:rFonts w:hint="eastAsia" w:ascii="仿宋" w:hAnsi="仿宋" w:eastAsia="仿宋"/>
          <w:color w:val="auto"/>
          <w:sz w:val="32"/>
          <w:szCs w:val="32"/>
          <w:highlight w:val="none"/>
        </w:rPr>
      </w:pPr>
      <w:r>
        <w:drawing>
          <wp:inline distT="0" distB="0" distL="114300" distR="114300">
            <wp:extent cx="4572000" cy="2743200"/>
            <wp:effectExtent l="0" t="0" r="0" b="0"/>
            <wp:docPr id="2" name="图片 30"/>
            <wp:cNvGraphicFramePr/>
            <a:graphic xmlns:a="http://schemas.openxmlformats.org/drawingml/2006/main">
              <a:graphicData uri="http://schemas.openxmlformats.org/drawingml/2006/picture">
                <pic:pic xmlns:pic="http://schemas.openxmlformats.org/drawingml/2006/picture">
                  <pic:nvPicPr>
                    <pic:cNvPr id="2" name="图片 30"/>
                    <pic:cNvPicPr/>
                  </pic:nvPicPr>
                  <pic:blipFill>
                    <a:blip r:embed="rId9"/>
                    <a:stretch>
                      <a:fillRect/>
                    </a:stretch>
                  </pic:blipFill>
                  <pic:spPr>
                    <a:xfrm>
                      <a:off x="0" y="0"/>
                      <a:ext cx="4572000" cy="2743200"/>
                    </a:xfrm>
                    <a:prstGeom prst="rect">
                      <a:avLst/>
                    </a:prstGeom>
                    <a:extLst>
                      <wpswe:webExtensionRef xmlns:wpswe="http://www.wps.cn/officeDocument/2018/webExtension" r:id="rId8"/>
                    </a:extLst>
                  </pic:spPr>
                </pic:pic>
              </a:graphicData>
            </a:graphic>
          </wp:inline>
        </w:drawing>
      </w:r>
    </w:p>
    <w:p>
      <w:pPr>
        <w:pStyle w:val="8"/>
        <w:rPr>
          <w:rFonts w:hint="eastAsia" w:ascii="仿宋" w:hAnsi="仿宋" w:eastAsia="仿宋"/>
          <w:color w:val="auto"/>
          <w:sz w:val="32"/>
          <w:szCs w:val="32"/>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9" w:name="_Toc15377207"/>
      <w:bookmarkStart w:id="30"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9"/>
      <w:bookmarkEnd w:id="30"/>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年本年支出合计1866.77万元，其中：基本支出1422.9万元，占</w:t>
      </w:r>
      <w:r>
        <w:rPr>
          <w:rFonts w:hint="eastAsia" w:ascii="仿宋" w:hAnsi="仿宋" w:eastAsia="仿宋"/>
          <w:color w:val="auto"/>
          <w:sz w:val="32"/>
          <w:szCs w:val="32"/>
          <w:highlight w:val="none"/>
          <w:lang w:val="en-US" w:eastAsia="zh-CN"/>
        </w:rPr>
        <w:t>76.22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；项目支出443.87万元，占</w:t>
      </w:r>
      <w:r>
        <w:rPr>
          <w:rFonts w:hint="eastAsia" w:ascii="仿宋" w:hAnsi="仿宋" w:eastAsia="仿宋"/>
          <w:color w:val="auto"/>
          <w:sz w:val="32"/>
          <w:szCs w:val="32"/>
          <w:highlight w:val="none"/>
          <w:lang w:val="en-US" w:eastAsia="zh-CN"/>
        </w:rPr>
        <w:t>23.78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pStyle w:val="2"/>
        <w:rPr>
          <w:rFonts w:hint="eastAsia"/>
        </w:rPr>
      </w:pPr>
    </w:p>
    <w:p>
      <w:pPr>
        <w:pStyle w:val="8"/>
        <w:jc w:val="center"/>
        <w:rPr>
          <w:rFonts w:hint="eastAsia" w:ascii="仿宋" w:hAnsi="仿宋" w:eastAsia="仿宋"/>
          <w:color w:val="auto"/>
          <w:sz w:val="32"/>
          <w:szCs w:val="32"/>
          <w:highlight w:val="none"/>
        </w:rPr>
      </w:pPr>
      <w:r>
        <w:drawing>
          <wp:inline distT="0" distB="0" distL="114300" distR="114300">
            <wp:extent cx="4572000" cy="2743200"/>
            <wp:effectExtent l="4445" t="4445" r="14605" b="14605"/>
            <wp:docPr id="6" name="图表 2"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rPr>
          <w:rFonts w:hint="eastAsia"/>
        </w:rPr>
      </w:pPr>
    </w:p>
    <w:p>
      <w:pPr>
        <w:spacing w:line="600" w:lineRule="exact"/>
        <w:ind w:firstLine="640" w:firstLineChars="200"/>
        <w:outlineLvl w:val="1"/>
        <w:rPr>
          <w:rStyle w:val="27"/>
          <w:rFonts w:ascii="黑体" w:hAnsi="黑体" w:eastAsia="黑体"/>
          <w:b w:val="0"/>
          <w:color w:val="auto"/>
          <w:highlight w:val="none"/>
        </w:rPr>
      </w:pPr>
      <w:bookmarkStart w:id="31" w:name="_Toc15396606"/>
      <w:bookmarkStart w:id="32"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1"/>
      <w:bookmarkEnd w:id="32"/>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年财政拨款收、支总计1990.12万元</w:t>
      </w:r>
      <w:r>
        <w:rPr>
          <w:rFonts w:hint="eastAsia" w:ascii="仿宋" w:hAnsi="仿宋" w:eastAsia="仿宋"/>
          <w:color w:val="auto"/>
          <w:sz w:val="32"/>
          <w:szCs w:val="32"/>
          <w:highlight w:val="none"/>
          <w:lang w:eastAsia="zh-CN"/>
        </w:rPr>
        <w:t>（含结转收支）</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136.83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：一是还原向县财政借款</w:t>
      </w:r>
      <w:r>
        <w:rPr>
          <w:rFonts w:hint="eastAsia" w:ascii="仿宋" w:hAnsi="仿宋" w:eastAsia="仿宋"/>
          <w:color w:val="auto"/>
          <w:sz w:val="32"/>
          <w:szCs w:val="32"/>
          <w:highlight w:val="none"/>
          <w:lang w:val="en-US" w:eastAsia="zh-CN"/>
        </w:rPr>
        <w:t>70.5万，二是增加档案数字化建设支出65.9万元。</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rPr>
          <w:rFonts w:hint="eastAsia" w:ascii="仿宋" w:hAnsi="仿宋" w:eastAsia="仿宋"/>
          <w:color w:val="auto"/>
          <w:sz w:val="32"/>
          <w:szCs w:val="32"/>
          <w:highlight w:val="none"/>
        </w:rPr>
      </w:pPr>
      <w:r>
        <w:drawing>
          <wp:inline distT="0" distB="0" distL="114300" distR="114300">
            <wp:extent cx="4572000" cy="2743200"/>
            <wp:effectExtent l="4445" t="4445" r="14605" b="1460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8"/>
      </w:pPr>
    </w:p>
    <w:p>
      <w:pPr>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lang w:eastAsia="zh-CN"/>
        </w:rPr>
      </w:pPr>
    </w:p>
    <w:p>
      <w:pPr>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lang w:eastAsia="zh-CN"/>
        </w:rPr>
      </w:pPr>
    </w:p>
    <w:p>
      <w:pPr>
        <w:pStyle w:val="8"/>
        <w:rPr>
          <w:rFonts w:hint="eastAsia" w:ascii="仿宋" w:hAnsi="仿宋" w:eastAsia="仿宋"/>
          <w:color w:val="auto"/>
          <w:sz w:val="32"/>
          <w:szCs w:val="32"/>
          <w:highlight w:val="none"/>
          <w:lang w:eastAsia="zh-CN"/>
        </w:rPr>
      </w:pPr>
    </w:p>
    <w:p>
      <w:pPr>
        <w:rPr>
          <w:rFonts w:hint="eastAsia" w:ascii="仿宋" w:hAnsi="仿宋" w:eastAsia="仿宋"/>
          <w:color w:val="auto"/>
          <w:sz w:val="32"/>
          <w:szCs w:val="32"/>
          <w:highlight w:val="none"/>
          <w:lang w:eastAsia="zh-CN"/>
        </w:rPr>
      </w:pPr>
    </w:p>
    <w:p>
      <w:pPr>
        <w:pStyle w:val="8"/>
        <w:rPr>
          <w:rFonts w:hint="eastAsia" w:ascii="仿宋" w:hAnsi="仿宋" w:eastAsia="仿宋"/>
          <w:color w:val="auto"/>
          <w:sz w:val="32"/>
          <w:szCs w:val="32"/>
          <w:highlight w:val="none"/>
          <w:lang w:eastAsia="zh-CN"/>
        </w:rPr>
      </w:pPr>
    </w:p>
    <w:p>
      <w:pPr>
        <w:spacing w:line="600" w:lineRule="exact"/>
        <w:ind w:firstLine="640"/>
      </w:pPr>
    </w:p>
    <w:p>
      <w:pPr>
        <w:pStyle w:val="8"/>
      </w:pPr>
    </w:p>
    <w:p/>
    <w:p>
      <w:pPr>
        <w:spacing w:line="600" w:lineRule="exact"/>
        <w:ind w:firstLine="640" w:firstLineChars="200"/>
        <w:outlineLvl w:val="1"/>
        <w:rPr>
          <w:rStyle w:val="27"/>
          <w:rFonts w:ascii="黑体" w:hAnsi="黑体" w:eastAsia="黑体"/>
          <w:b w:val="0"/>
          <w:color w:val="auto"/>
          <w:highlight w:val="none"/>
        </w:rPr>
      </w:pPr>
      <w:bookmarkStart w:id="33" w:name="_Toc15377209"/>
      <w:bookmarkStart w:id="34"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3"/>
      <w:bookmarkEnd w:id="34"/>
    </w:p>
    <w:p>
      <w:pPr>
        <w:spacing w:line="600" w:lineRule="exact"/>
        <w:ind w:firstLine="643" w:firstLineChars="200"/>
        <w:outlineLvl w:val="2"/>
        <w:rPr>
          <w:rFonts w:ascii="仿宋" w:hAnsi="仿宋" w:eastAsia="仿宋"/>
          <w:b/>
          <w:color w:val="auto"/>
          <w:sz w:val="32"/>
          <w:szCs w:val="32"/>
          <w:highlight w:val="none"/>
        </w:rPr>
      </w:pPr>
      <w:bookmarkStart w:id="35" w:name="_Toc15377210"/>
      <w:r>
        <w:rPr>
          <w:rFonts w:hint="eastAsia" w:ascii="仿宋" w:hAnsi="仿宋" w:eastAsia="仿宋"/>
          <w:b/>
          <w:color w:val="auto"/>
          <w:sz w:val="32"/>
          <w:szCs w:val="32"/>
          <w:highlight w:val="none"/>
        </w:rPr>
        <w:t>（一）一般公共预算财政拨款支出决算总体情况</w:t>
      </w:r>
      <w:bookmarkEnd w:id="35"/>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年一般公共预算财政拨款支出1866.77万元，占本年支出合计的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153.66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：一是还原向县财政借款</w:t>
      </w:r>
      <w:r>
        <w:rPr>
          <w:rFonts w:hint="eastAsia" w:ascii="仿宋" w:hAnsi="仿宋" w:eastAsia="仿宋"/>
          <w:color w:val="auto"/>
          <w:sz w:val="32"/>
          <w:szCs w:val="32"/>
          <w:highlight w:val="none"/>
          <w:lang w:val="en-US" w:eastAsia="zh-CN"/>
        </w:rPr>
        <w:t>70.5万元，二是增加档案数字化建设支出65.9万元。</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pStyle w:val="8"/>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r>
        <w:drawing>
          <wp:inline distT="0" distB="0" distL="114300" distR="114300">
            <wp:extent cx="4572000" cy="2743200"/>
            <wp:effectExtent l="0" t="0" r="0" b="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13"/>
                    <a:stretch>
                      <a:fillRect/>
                    </a:stretch>
                  </pic:blipFill>
                  <pic:spPr>
                    <a:xfrm>
                      <a:off x="0" y="0"/>
                      <a:ext cx="4572000" cy="2743200"/>
                    </a:xfrm>
                    <a:prstGeom prst="rect">
                      <a:avLst/>
                    </a:prstGeom>
                    <a:extLst>
                      <wpswe:webExtensionRef xmlns:wpswe="http://www.wps.cn/officeDocument/2018/webExtension" r:id="rId12"/>
                    </a:extLst>
                  </pic:spPr>
                </pic:pic>
              </a:graphicData>
            </a:graphic>
          </wp:inline>
        </w:drawing>
      </w:r>
    </w:p>
    <w:p>
      <w:pPr>
        <w:pStyle w:val="8"/>
        <w:rPr>
          <w:rFonts w:hint="eastAsia"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6" w:name="_Toc15377211"/>
      <w:r>
        <w:rPr>
          <w:rFonts w:hint="eastAsia" w:ascii="仿宋" w:hAnsi="仿宋" w:eastAsia="仿宋"/>
          <w:b/>
          <w:color w:val="auto"/>
          <w:sz w:val="32"/>
          <w:szCs w:val="32"/>
          <w:highlight w:val="none"/>
        </w:rPr>
        <w:t>（二）一般公共预算财政拨款支出决算结构情况</w:t>
      </w:r>
      <w:bookmarkEnd w:id="3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年一般公共预算财政拨款支出1866.77万元，主要用于以下方面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公共安全（类）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1586.6</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161.88万元，占</w:t>
      </w:r>
      <w:r>
        <w:rPr>
          <w:rFonts w:hint="eastAsia" w:ascii="仿宋" w:hAnsi="仿宋" w:eastAsia="仿宋"/>
          <w:color w:val="auto"/>
          <w:sz w:val="32"/>
          <w:szCs w:val="32"/>
          <w:highlight w:val="none"/>
          <w:lang w:val="en-US" w:eastAsia="zh-CN"/>
        </w:rPr>
        <w:t>8.67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29.55万元，占</w:t>
      </w:r>
      <w:r>
        <w:rPr>
          <w:rFonts w:hint="eastAsia" w:ascii="仿宋" w:hAnsi="仿宋" w:eastAsia="仿宋"/>
          <w:color w:val="auto"/>
          <w:sz w:val="32"/>
          <w:szCs w:val="32"/>
          <w:highlight w:val="none"/>
          <w:lang w:val="en-US" w:eastAsia="zh-CN"/>
        </w:rPr>
        <w:t>1.58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住房保障（类）支出</w:t>
      </w:r>
      <w:r>
        <w:rPr>
          <w:rFonts w:hint="eastAsia" w:ascii="仿宋" w:hAnsi="仿宋" w:eastAsia="仿宋"/>
          <w:color w:val="auto"/>
          <w:sz w:val="32"/>
          <w:szCs w:val="32"/>
          <w:highlight w:val="none"/>
        </w:rPr>
        <w:t>88.68万元，占</w:t>
      </w:r>
      <w:r>
        <w:rPr>
          <w:rFonts w:hint="eastAsia" w:ascii="仿宋" w:hAnsi="仿宋" w:eastAsia="仿宋"/>
          <w:color w:val="auto"/>
          <w:sz w:val="32"/>
          <w:szCs w:val="32"/>
          <w:highlight w:val="none"/>
          <w:lang w:val="en-US" w:eastAsia="zh-CN"/>
        </w:rPr>
        <w:t>4.76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Style w:val="8"/>
        <w:rPr>
          <w:rFonts w:hint="eastAsia" w:ascii="仿宋" w:hAnsi="仿宋" w:eastAsia="仿宋"/>
          <w:color w:val="auto"/>
          <w:sz w:val="32"/>
          <w:szCs w:val="32"/>
          <w:highlight w:val="none"/>
        </w:rPr>
      </w:pPr>
    </w:p>
    <w:p>
      <w:pPr>
        <w:jc w:val="center"/>
        <w:rPr>
          <w:rFonts w:hint="eastAsia" w:ascii="仿宋" w:hAnsi="仿宋" w:eastAsia="仿宋"/>
          <w:color w:val="auto"/>
          <w:sz w:val="32"/>
          <w:szCs w:val="32"/>
          <w:highlight w:val="none"/>
        </w:rPr>
      </w:pPr>
      <w:r>
        <w:drawing>
          <wp:inline distT="0" distB="0" distL="114300" distR="114300">
            <wp:extent cx="4379595" cy="2514600"/>
            <wp:effectExtent l="0" t="0" r="1905" b="0"/>
            <wp:docPr id="28"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8"/>
      </w:pPr>
    </w:p>
    <w:p>
      <w:pPr>
        <w:spacing w:line="600" w:lineRule="exact"/>
        <w:ind w:firstLine="643" w:firstLineChars="200"/>
        <w:outlineLvl w:val="2"/>
        <w:rPr>
          <w:rFonts w:ascii="仿宋" w:hAnsi="仿宋" w:eastAsia="仿宋"/>
          <w:b/>
          <w:color w:val="auto"/>
          <w:sz w:val="32"/>
          <w:szCs w:val="32"/>
          <w:highlight w:val="none"/>
        </w:rPr>
      </w:pPr>
      <w:bookmarkStart w:id="37" w:name="_Toc15377212"/>
      <w:r>
        <w:rPr>
          <w:rFonts w:hint="eastAsia" w:ascii="仿宋" w:hAnsi="仿宋" w:eastAsia="仿宋"/>
          <w:b/>
          <w:color w:val="auto"/>
          <w:sz w:val="32"/>
          <w:szCs w:val="32"/>
          <w:highlight w:val="none"/>
        </w:rPr>
        <w:t>（三）一般公共预算财政拨款支出决算具体情况</w:t>
      </w:r>
      <w:bookmarkEnd w:id="37"/>
    </w:p>
    <w:p>
      <w:pPr>
        <w:spacing w:line="600" w:lineRule="exact"/>
        <w:ind w:firstLine="643" w:firstLineChars="200"/>
        <w:outlineLvl w:val="2"/>
        <w:rPr>
          <w:rFonts w:ascii="仿宋" w:hAnsi="仿宋" w:eastAsia="仿宋"/>
          <w:color w:val="auto"/>
          <w:sz w:val="32"/>
          <w:szCs w:val="32"/>
          <w:highlight w:val="none"/>
        </w:rPr>
      </w:pPr>
      <w:bookmarkStart w:id="38" w:name="_Toc15377444"/>
      <w:bookmarkStart w:id="39" w:name="_Toc15377213"/>
      <w:bookmarkStart w:id="40"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1866.77，</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8"/>
      <w:bookmarkEnd w:id="39"/>
      <w:bookmarkEnd w:id="40"/>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default" w:ascii="仿宋_GB2312" w:hAnsi="Times New Roman" w:eastAsia="仿宋_GB2312" w:cs="仿宋_GB2312"/>
          <w:i w:val="0"/>
          <w:iCs w:val="0"/>
          <w:caps w:val="0"/>
          <w:color w:val="000000"/>
          <w:spacing w:val="0"/>
          <w:sz w:val="33"/>
          <w:szCs w:val="33"/>
          <w:shd w:val="clear" w:color="auto" w:fill="FFFFFF"/>
          <w:lang w:eastAsia="zh-CN"/>
        </w:rPr>
        <w:t>1. 公共安全支出（类）检察（款）行政运行（项）: 支出决算为816.83万元，完成预算100%。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2</w:t>
      </w:r>
      <w:r>
        <w:rPr>
          <w:rFonts w:hint="default" w:ascii="仿宋_GB2312" w:hAnsi="Times New Roman" w:eastAsia="仿宋_GB2312" w:cs="仿宋_GB2312"/>
          <w:i w:val="0"/>
          <w:iCs w:val="0"/>
          <w:caps w:val="0"/>
          <w:color w:val="000000"/>
          <w:spacing w:val="0"/>
          <w:sz w:val="33"/>
          <w:szCs w:val="33"/>
          <w:shd w:val="clear" w:color="auto" w:fill="FFFFFF"/>
          <w:lang w:eastAsia="zh-CN"/>
        </w:rPr>
        <w:t>. 公共安全支出（类）检察（款） 检察监督事务（项）: 支出决算为463.65万元，完成预算100%。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3</w:t>
      </w:r>
      <w:r>
        <w:rPr>
          <w:rFonts w:hint="default" w:ascii="仿宋_GB2312" w:hAnsi="Times New Roman" w:eastAsia="仿宋_GB2312" w:cs="仿宋_GB2312"/>
          <w:i w:val="0"/>
          <w:iCs w:val="0"/>
          <w:caps w:val="0"/>
          <w:color w:val="000000"/>
          <w:spacing w:val="0"/>
          <w:sz w:val="33"/>
          <w:szCs w:val="33"/>
          <w:shd w:val="clear" w:color="auto" w:fill="FFFFFF"/>
          <w:lang w:eastAsia="zh-CN"/>
        </w:rPr>
        <w:t>. 公共安全支出（类）检察（款） 其他检察支出（项）: 支出决算为306.1</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8</w:t>
      </w:r>
      <w:r>
        <w:rPr>
          <w:rFonts w:hint="default" w:ascii="仿宋_GB2312" w:hAnsi="Times New Roman" w:eastAsia="仿宋_GB2312" w:cs="仿宋_GB2312"/>
          <w:i w:val="0"/>
          <w:iCs w:val="0"/>
          <w:caps w:val="0"/>
          <w:color w:val="000000"/>
          <w:spacing w:val="0"/>
          <w:sz w:val="33"/>
          <w:szCs w:val="33"/>
          <w:shd w:val="clear" w:color="auto" w:fill="FFFFFF"/>
          <w:lang w:eastAsia="zh-CN"/>
        </w:rPr>
        <w:t>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4</w:t>
      </w:r>
      <w:r>
        <w:rPr>
          <w:rFonts w:hint="default" w:ascii="仿宋_GB2312" w:hAnsi="Times New Roman" w:eastAsia="仿宋_GB2312" w:cs="仿宋_GB2312"/>
          <w:i w:val="0"/>
          <w:iCs w:val="0"/>
          <w:caps w:val="0"/>
          <w:color w:val="000000"/>
          <w:spacing w:val="0"/>
          <w:sz w:val="33"/>
          <w:szCs w:val="33"/>
          <w:shd w:val="clear" w:color="auto" w:fill="FFFFFF"/>
          <w:lang w:eastAsia="zh-CN"/>
        </w:rPr>
        <w:t>. 社会保障和就业支出（类）行政事业单位养老支出（款） 行政单位离退休（项）: 支出决算为0.07万元，完成预算100%。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5</w:t>
      </w:r>
      <w:r>
        <w:rPr>
          <w:rFonts w:hint="default" w:ascii="仿宋_GB2312" w:hAnsi="Times New Roman" w:eastAsia="仿宋_GB2312" w:cs="仿宋_GB2312"/>
          <w:i w:val="0"/>
          <w:iCs w:val="0"/>
          <w:caps w:val="0"/>
          <w:color w:val="000000"/>
          <w:spacing w:val="0"/>
          <w:sz w:val="33"/>
          <w:szCs w:val="33"/>
          <w:shd w:val="clear" w:color="auto" w:fill="FFFFFF"/>
          <w:lang w:eastAsia="zh-CN"/>
        </w:rPr>
        <w:t>. 社会保障和就业支出（类）行政事业单位养老支出（款） 机关事业单位基本养老保险缴费支出（项）: 支出决算为78.61万元，完成预算100%。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6</w:t>
      </w:r>
      <w:r>
        <w:rPr>
          <w:rFonts w:hint="default" w:ascii="仿宋_GB2312" w:hAnsi="Times New Roman" w:eastAsia="仿宋_GB2312" w:cs="仿宋_GB2312"/>
          <w:i w:val="0"/>
          <w:iCs w:val="0"/>
          <w:caps w:val="0"/>
          <w:color w:val="000000"/>
          <w:spacing w:val="0"/>
          <w:sz w:val="33"/>
          <w:szCs w:val="33"/>
          <w:shd w:val="clear" w:color="auto" w:fill="FFFFFF"/>
          <w:lang w:eastAsia="zh-CN"/>
        </w:rPr>
        <w:t>. 社会保障和就业支出（类）行政事业单位养老支出（款） 机关事业单位职业年金缴费支出（项）: 支出决算为8.9</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3</w:t>
      </w:r>
      <w:r>
        <w:rPr>
          <w:rFonts w:hint="default" w:ascii="仿宋_GB2312" w:hAnsi="Times New Roman" w:eastAsia="仿宋_GB2312" w:cs="仿宋_GB2312"/>
          <w:i w:val="0"/>
          <w:iCs w:val="0"/>
          <w:caps w:val="0"/>
          <w:color w:val="000000"/>
          <w:spacing w:val="0"/>
          <w:sz w:val="33"/>
          <w:szCs w:val="33"/>
          <w:shd w:val="clear" w:color="auto" w:fill="FFFFFF"/>
          <w:lang w:eastAsia="zh-CN"/>
        </w:rPr>
        <w:t>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7、</w:t>
      </w:r>
      <w:r>
        <w:rPr>
          <w:rFonts w:hint="default" w:ascii="仿宋_GB2312" w:hAnsi="Times New Roman" w:eastAsia="仿宋_GB2312" w:cs="仿宋_GB2312"/>
          <w:i w:val="0"/>
          <w:iCs w:val="0"/>
          <w:caps w:val="0"/>
          <w:color w:val="000000"/>
          <w:spacing w:val="0"/>
          <w:sz w:val="33"/>
          <w:szCs w:val="33"/>
          <w:shd w:val="clear" w:color="auto" w:fill="FFFFFF"/>
          <w:lang w:eastAsia="zh-CN"/>
        </w:rPr>
        <w:t>社会保障和就业支出（类）行政事业单位养老支出（款）其他行政事业单位养老支出</w:t>
      </w:r>
      <w:r>
        <w:rPr>
          <w:rFonts w:hint="eastAsia" w:ascii="仿宋_GB2312" w:hAnsi="Times New Roman" w:eastAsia="仿宋_GB2312" w:cs="仿宋_GB2312"/>
          <w:i w:val="0"/>
          <w:iCs w:val="0"/>
          <w:caps w:val="0"/>
          <w:color w:val="000000"/>
          <w:spacing w:val="0"/>
          <w:sz w:val="33"/>
          <w:szCs w:val="33"/>
          <w:shd w:val="clear" w:color="auto" w:fill="FFFFFF"/>
          <w:lang w:eastAsia="zh-CN"/>
        </w:rPr>
        <w:t>（项）：</w:t>
      </w:r>
      <w:r>
        <w:rPr>
          <w:rFonts w:hint="default" w:ascii="仿宋_GB2312" w:hAnsi="Times New Roman" w:eastAsia="仿宋_GB2312" w:cs="仿宋_GB2312"/>
          <w:i w:val="0"/>
          <w:iCs w:val="0"/>
          <w:caps w:val="0"/>
          <w:color w:val="000000"/>
          <w:spacing w:val="0"/>
          <w:sz w:val="33"/>
          <w:szCs w:val="33"/>
          <w:shd w:val="clear" w:color="auto" w:fill="FFFFFF"/>
          <w:lang w:eastAsia="zh-CN"/>
        </w:rPr>
        <w:t>支出决算为72.</w:t>
      </w:r>
      <w:r>
        <w:rPr>
          <w:rFonts w:hint="eastAsia" w:ascii="仿宋_GB2312" w:eastAsia="仿宋_GB2312" w:cs="仿宋_GB2312"/>
          <w:i w:val="0"/>
          <w:iCs w:val="0"/>
          <w:caps w:val="0"/>
          <w:color w:val="000000"/>
          <w:spacing w:val="0"/>
          <w:sz w:val="33"/>
          <w:szCs w:val="33"/>
          <w:shd w:val="clear" w:color="auto" w:fill="FFFFFF"/>
          <w:lang w:eastAsia="zh-CN"/>
        </w:rPr>
        <w:t>51</w:t>
      </w:r>
      <w:r>
        <w:rPr>
          <w:rFonts w:hint="default" w:ascii="仿宋_GB2312" w:hAnsi="Times New Roman" w:eastAsia="仿宋_GB2312" w:cs="仿宋_GB2312"/>
          <w:i w:val="0"/>
          <w:iCs w:val="0"/>
          <w:caps w:val="0"/>
          <w:color w:val="000000"/>
          <w:spacing w:val="0"/>
          <w:sz w:val="33"/>
          <w:szCs w:val="33"/>
          <w:shd w:val="clear" w:color="auto" w:fill="FFFFFF"/>
          <w:lang w:eastAsia="zh-CN"/>
        </w:rPr>
        <w:t>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firstLine="660" w:firstLineChars="20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8</w:t>
      </w:r>
      <w:r>
        <w:rPr>
          <w:rFonts w:hint="default" w:ascii="仿宋_GB2312" w:hAnsi="Times New Roman" w:eastAsia="仿宋_GB2312" w:cs="仿宋_GB2312"/>
          <w:i w:val="0"/>
          <w:iCs w:val="0"/>
          <w:caps w:val="0"/>
          <w:color w:val="000000"/>
          <w:spacing w:val="0"/>
          <w:sz w:val="33"/>
          <w:szCs w:val="33"/>
          <w:shd w:val="clear" w:color="auto" w:fill="FFFFFF"/>
          <w:lang w:eastAsia="zh-CN"/>
        </w:rPr>
        <w:t>. 社会保障和就业支出（类）抚恤（款）其他优抚支出（项）: 支出决算为1.8万元，完成预算100%。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9</w:t>
      </w:r>
      <w:r>
        <w:rPr>
          <w:rFonts w:hint="default" w:ascii="仿宋_GB2312" w:hAnsi="Times New Roman" w:eastAsia="仿宋_GB2312" w:cs="仿宋_GB2312"/>
          <w:i w:val="0"/>
          <w:iCs w:val="0"/>
          <w:caps w:val="0"/>
          <w:color w:val="000000"/>
          <w:spacing w:val="0"/>
          <w:sz w:val="33"/>
          <w:szCs w:val="33"/>
          <w:shd w:val="clear" w:color="auto" w:fill="FFFFFF"/>
          <w:lang w:eastAsia="zh-CN"/>
        </w:rPr>
        <w:t>. 卫生健康支出（类）计划生育事务（款）其他计划生育事务支出（项）:支出决算为</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0.07</w:t>
      </w:r>
      <w:r>
        <w:rPr>
          <w:rFonts w:hint="default" w:ascii="仿宋_GB2312" w:hAnsi="Times New Roman" w:eastAsia="仿宋_GB2312" w:cs="仿宋_GB2312"/>
          <w:i w:val="0"/>
          <w:iCs w:val="0"/>
          <w:caps w:val="0"/>
          <w:color w:val="000000"/>
          <w:spacing w:val="0"/>
          <w:sz w:val="33"/>
          <w:szCs w:val="33"/>
          <w:shd w:val="clear" w:color="auto" w:fill="FFFFFF"/>
          <w:lang w:eastAsia="zh-CN"/>
        </w:rPr>
        <w:t>万元，完成预算100%。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仿宋_GB2312" w:hAnsi="Times New Roman" w:eastAsia="仿宋_GB2312" w:cs="仿宋_GB2312"/>
          <w:i w:val="0"/>
          <w:iCs w:val="0"/>
          <w:caps w:val="0"/>
          <w:color w:val="000000"/>
          <w:spacing w:val="0"/>
          <w:sz w:val="33"/>
          <w:szCs w:val="33"/>
          <w:shd w:val="clear" w:color="auto" w:fill="FFFFFF"/>
          <w:lang w:eastAsia="zh-CN"/>
        </w:rPr>
      </w:pPr>
      <w:r>
        <w:rPr>
          <w:rFonts w:hint="eastAsia" w:ascii="仿宋_GB2312" w:hAnsi="Times New Roman" w:eastAsia="仿宋_GB2312" w:cs="仿宋_GB2312"/>
          <w:i w:val="0"/>
          <w:iCs w:val="0"/>
          <w:caps w:val="0"/>
          <w:color w:val="000000"/>
          <w:spacing w:val="0"/>
          <w:sz w:val="33"/>
          <w:szCs w:val="33"/>
          <w:shd w:val="clear" w:color="auto" w:fill="FFFFFF"/>
          <w:lang w:val="en-US" w:eastAsia="zh-CN"/>
        </w:rPr>
        <w:t>10</w:t>
      </w:r>
      <w:r>
        <w:rPr>
          <w:rFonts w:hint="default" w:ascii="仿宋_GB2312" w:hAnsi="Times New Roman" w:eastAsia="仿宋_GB2312" w:cs="仿宋_GB2312"/>
          <w:i w:val="0"/>
          <w:iCs w:val="0"/>
          <w:caps w:val="0"/>
          <w:color w:val="000000"/>
          <w:spacing w:val="0"/>
          <w:sz w:val="33"/>
          <w:szCs w:val="33"/>
          <w:shd w:val="clear" w:color="auto" w:fill="FFFFFF"/>
          <w:lang w:eastAsia="zh-CN"/>
        </w:rPr>
        <w:t>. 卫生健康支出（类）行政事业单位医疗（款） 行政单位医疗（项）:支出决算为29.48万元，完成预算100%。</w:t>
      </w:r>
    </w:p>
    <w:p>
      <w:pPr>
        <w:spacing w:line="600" w:lineRule="exact"/>
        <w:ind w:firstLine="660" w:firstLineChars="200"/>
        <w:rPr>
          <w:rFonts w:ascii="仿宋" w:hAnsi="仿宋" w:eastAsia="仿宋"/>
          <w:color w:val="auto"/>
          <w:sz w:val="32"/>
          <w:szCs w:val="32"/>
          <w:highlight w:val="none"/>
        </w:rPr>
      </w:pPr>
      <w:r>
        <w:rPr>
          <w:rFonts w:hint="default" w:ascii="仿宋_GB2312" w:hAnsi="Times New Roman" w:eastAsia="仿宋_GB2312" w:cs="仿宋_GB2312"/>
          <w:i w:val="0"/>
          <w:iCs w:val="0"/>
          <w:caps w:val="0"/>
          <w:color w:val="000000"/>
          <w:spacing w:val="0"/>
          <w:sz w:val="33"/>
          <w:szCs w:val="33"/>
          <w:shd w:val="clear" w:color="auto" w:fill="FFFFFF"/>
          <w:lang w:eastAsia="zh-CN"/>
        </w:rPr>
        <w:t>1</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1</w:t>
      </w:r>
      <w:r>
        <w:rPr>
          <w:rFonts w:hint="default" w:ascii="仿宋_GB2312" w:hAnsi="Times New Roman" w:eastAsia="仿宋_GB2312" w:cs="仿宋_GB2312"/>
          <w:i w:val="0"/>
          <w:iCs w:val="0"/>
          <w:caps w:val="0"/>
          <w:color w:val="000000"/>
          <w:spacing w:val="0"/>
          <w:sz w:val="33"/>
          <w:szCs w:val="33"/>
          <w:shd w:val="clear" w:color="auto" w:fill="FFFFFF"/>
          <w:lang w:eastAsia="zh-CN"/>
        </w:rPr>
        <w:t>. 住房保障支出（类）住房改革支出（款） 住房公积金（项）:支出决算为88.68万元，完成预算100%。</w:t>
      </w:r>
      <w:r>
        <w:rPr>
          <w:rFonts w:hint="eastAsia" w:ascii="仿宋" w:hAnsi="仿宋" w:eastAsia="仿宋"/>
          <w:color w:val="auto"/>
          <w:sz w:val="32"/>
          <w:szCs w:val="32"/>
          <w:highlight w:val="none"/>
        </w:rPr>
        <w:t>（饼状图）</w:t>
      </w:r>
    </w:p>
    <w:p>
      <w:pPr>
        <w:pStyle w:val="8"/>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drawing>
          <wp:inline distT="0" distB="0" distL="114300" distR="114300">
            <wp:extent cx="5651500" cy="4641215"/>
            <wp:effectExtent l="0" t="0" r="6350" b="698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6"/>
                    <a:stretch>
                      <a:fillRect/>
                    </a:stretch>
                  </pic:blipFill>
                  <pic:spPr>
                    <a:xfrm>
                      <a:off x="0" y="0"/>
                      <a:ext cx="5651500" cy="4641215"/>
                    </a:xfrm>
                    <a:prstGeom prst="rect">
                      <a:avLst/>
                    </a:prstGeom>
                    <a:extLst>
                      <wpswe:webExtensionRef xmlns:wpswe="http://www.wps.cn/officeDocument/2018/webExtension" r:id="rId15"/>
                    </a:extLst>
                  </pic:spPr>
                </pic:pic>
              </a:graphicData>
            </a:graphic>
          </wp:inline>
        </w:drawing>
      </w:r>
    </w:p>
    <w:p>
      <w:pPr>
        <w:pStyle w:val="8"/>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41" w:name="_Toc15377214"/>
      <w:bookmarkStart w:id="4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1"/>
      <w:bookmarkEnd w:id="42"/>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年一般公共预算财政拨款基本支出1422.9万元，其中：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1209.31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日常</w:t>
      </w:r>
      <w:r>
        <w:rPr>
          <w:rFonts w:hint="eastAsia" w:ascii="仿宋" w:hAnsi="仿宋" w:eastAsia="仿宋"/>
          <w:color w:val="auto"/>
          <w:sz w:val="32"/>
          <w:szCs w:val="32"/>
          <w:highlight w:val="none"/>
        </w:rPr>
        <w:t>公用经费213.59万元，主要包括：办公费、印刷费、水费、电费、邮电费、取暖费、物业管理费、差旅费、维修（护）费、租赁费、会议费、培训费、公务接待费、劳务费、委托业务费、工会经费</w:t>
      </w:r>
      <w:r>
        <w:rPr>
          <w:rFonts w:hint="eastAsia" w:ascii="仿宋" w:hAnsi="仿宋" w:eastAsia="仿宋"/>
          <w:color w:val="auto"/>
          <w:sz w:val="32"/>
          <w:szCs w:val="32"/>
          <w:highlight w:val="none"/>
          <w:lang w:eastAsia="zh-CN"/>
        </w:rPr>
        <w:t>、福利费</w:t>
      </w:r>
      <w:r>
        <w:rPr>
          <w:rFonts w:hint="eastAsia" w:ascii="仿宋" w:hAnsi="仿宋" w:eastAsia="仿宋"/>
          <w:color w:val="auto"/>
          <w:sz w:val="32"/>
          <w:szCs w:val="32"/>
          <w:highlight w:val="none"/>
        </w:rPr>
        <w:t>公务用车运行维护费、其他交通费、</w:t>
      </w:r>
      <w:r>
        <w:rPr>
          <w:rFonts w:hint="eastAsia" w:ascii="仿宋" w:hAnsi="仿宋" w:eastAsia="仿宋"/>
          <w:color w:val="auto"/>
          <w:sz w:val="32"/>
          <w:szCs w:val="32"/>
          <w:highlight w:val="none"/>
          <w:lang w:eastAsia="zh-CN"/>
        </w:rPr>
        <w:t>保密支出</w:t>
      </w:r>
      <w:r>
        <w:rPr>
          <w:rFonts w:hint="eastAsia" w:ascii="仿宋" w:hAnsi="仿宋" w:eastAsia="仿宋"/>
          <w:color w:val="auto"/>
          <w:sz w:val="32"/>
          <w:szCs w:val="32"/>
          <w:highlight w:val="none"/>
        </w:rPr>
        <w:t>、其他商品和服务支出、办公设备购置、专用设备购置、信息网络及软件购置更新、其他资本性支出等。</w:t>
      </w:r>
    </w:p>
    <w:p>
      <w:pPr>
        <w:numPr>
          <w:ilvl w:val="0"/>
          <w:numId w:val="2"/>
        </w:numPr>
        <w:spacing w:line="600" w:lineRule="exact"/>
        <w:ind w:firstLine="640"/>
        <w:rPr>
          <w:rStyle w:val="27"/>
          <w:rFonts w:hint="eastAsia" w:ascii="黑体" w:hAnsi="黑体" w:eastAsia="黑体"/>
          <w:b w:val="0"/>
          <w:bCs/>
        </w:rPr>
      </w:pPr>
      <w:r>
        <w:rPr>
          <w:rFonts w:hint="eastAsia" w:ascii="黑体" w:hAnsi="黑体" w:eastAsia="黑体"/>
          <w:b w:val="0"/>
          <w:bCs/>
          <w:color w:val="000000"/>
          <w:sz w:val="32"/>
          <w:szCs w:val="32"/>
        </w:rPr>
        <w:t>一</w:t>
      </w:r>
      <w:r>
        <w:rPr>
          <w:rStyle w:val="27"/>
          <w:rFonts w:hint="eastAsia" w:ascii="黑体" w:hAnsi="黑体" w:eastAsia="黑体"/>
          <w:b w:val="0"/>
          <w:bCs/>
        </w:rPr>
        <w:t>般公共预算财政拨款</w:t>
      </w:r>
      <w:r>
        <w:rPr>
          <w:rStyle w:val="27"/>
          <w:rFonts w:hint="eastAsia" w:ascii="黑体" w:hAnsi="黑体" w:eastAsia="黑体"/>
          <w:b w:val="0"/>
          <w:bCs/>
          <w:lang w:eastAsia="zh-CN"/>
        </w:rPr>
        <w:t>项目</w:t>
      </w:r>
      <w:r>
        <w:rPr>
          <w:rStyle w:val="27"/>
          <w:rFonts w:hint="eastAsia" w:ascii="黑体" w:hAnsi="黑体" w:eastAsia="黑体"/>
          <w:b w:val="0"/>
          <w:bCs/>
        </w:rPr>
        <w:t>支出决算情况说明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443.87</w:t>
      </w:r>
      <w:r>
        <w:rPr>
          <w:rFonts w:hint="eastAsia" w:ascii="仿宋" w:hAnsi="仿宋" w:eastAsia="仿宋"/>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_GB2312" w:hAnsi="仿宋_GB2312" w:eastAsia="仿宋_GB2312" w:cs="仿宋_GB2312"/>
          <w:sz w:val="32"/>
          <w:szCs w:val="32"/>
          <w:lang w:eastAsia="zh-CN"/>
        </w:rPr>
        <w:t>办案经费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361.96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，主要用于：项目人员支出</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，为司法救助</w:t>
      </w:r>
      <w:r>
        <w:rPr>
          <w:rFonts w:hint="eastAsia" w:ascii="仿宋" w:hAnsi="仿宋" w:eastAsia="仿宋"/>
          <w:color w:val="000000"/>
          <w:sz w:val="32"/>
          <w:szCs w:val="32"/>
        </w:rPr>
        <w:t>生活补助</w:t>
      </w:r>
      <w:r>
        <w:rPr>
          <w:rFonts w:hint="eastAsia" w:ascii="仿宋" w:hAnsi="仿宋" w:eastAsia="仿宋"/>
          <w:color w:val="000000"/>
          <w:sz w:val="32"/>
          <w:szCs w:val="32"/>
          <w:lang w:eastAsia="zh-CN"/>
        </w:rPr>
        <w:t>；项目经费支出</w:t>
      </w:r>
      <w:r>
        <w:rPr>
          <w:rFonts w:hint="eastAsia" w:ascii="仿宋" w:hAnsi="仿宋" w:eastAsia="仿宋"/>
          <w:color w:val="000000"/>
          <w:sz w:val="32"/>
          <w:szCs w:val="32"/>
          <w:lang w:val="en-US" w:eastAsia="zh-CN"/>
        </w:rPr>
        <w:t>271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办公费、印刷费、邮电费、差旅费、维修（护）费、劳务费、委托业务费、公务用车运行维护费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其他商品和服务支出等</w:t>
      </w:r>
      <w:r>
        <w:rPr>
          <w:rFonts w:hint="eastAsia" w:ascii="仿宋" w:hAnsi="仿宋" w:eastAsia="仿宋"/>
          <w:color w:val="000000"/>
          <w:sz w:val="32"/>
          <w:szCs w:val="32"/>
          <w:lang w:eastAsia="zh-CN"/>
        </w:rPr>
        <w:t>。</w:t>
      </w:r>
    </w:p>
    <w:p>
      <w:pPr>
        <w:pStyle w:val="2"/>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装备经费项目支出81.91万元，主要用于：</w:t>
      </w:r>
      <w:r>
        <w:rPr>
          <w:rFonts w:hint="eastAsia" w:ascii="仿宋" w:hAnsi="仿宋" w:eastAsia="仿宋"/>
          <w:color w:val="000000"/>
          <w:sz w:val="32"/>
          <w:szCs w:val="32"/>
          <w:lang w:eastAsia="zh-CN"/>
        </w:rPr>
        <w:t>项目经费支出</w:t>
      </w:r>
      <w:r>
        <w:rPr>
          <w:rFonts w:hint="eastAsia" w:ascii="仿宋" w:hAnsi="仿宋" w:eastAsia="仿宋"/>
          <w:color w:val="000000"/>
          <w:sz w:val="32"/>
          <w:szCs w:val="32"/>
          <w:lang w:val="en-US" w:eastAsia="zh-CN"/>
        </w:rPr>
        <w:t>81.97万元，包括维修费</w:t>
      </w:r>
      <w:r>
        <w:rPr>
          <w:rFonts w:hint="eastAsia" w:ascii="仿宋" w:hAnsi="仿宋" w:eastAsia="仿宋"/>
          <w:color w:val="000000"/>
          <w:sz w:val="32"/>
          <w:szCs w:val="32"/>
        </w:rPr>
        <w:t>办公设备购置、专用设备购置、信息网络及软件购置更新等</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p>
    <w:p>
      <w:pPr>
        <w:pStyle w:val="8"/>
      </w:pPr>
    </w:p>
    <w:p>
      <w:pPr>
        <w:spacing w:line="600" w:lineRule="exact"/>
        <w:ind w:firstLine="640"/>
        <w:outlineLvl w:val="1"/>
        <w:rPr>
          <w:rStyle w:val="27"/>
          <w:rFonts w:ascii="黑体" w:hAnsi="黑体" w:eastAsia="黑体"/>
          <w:b w:val="0"/>
          <w:color w:val="auto"/>
          <w:highlight w:val="none"/>
        </w:rPr>
      </w:pPr>
      <w:bookmarkStart w:id="43" w:name="_Toc15396609"/>
      <w:bookmarkStart w:id="44" w:name="_Toc15377215"/>
      <w:r>
        <w:rPr>
          <w:rFonts w:hint="eastAsia" w:ascii="黑体" w:eastAsia="黑体"/>
          <w:color w:val="auto"/>
          <w:sz w:val="32"/>
          <w:szCs w:val="32"/>
          <w:highlight w:val="none"/>
          <w:lang w:eastAsia="zh-CN"/>
        </w:rPr>
        <w:t>八</w:t>
      </w:r>
      <w:r>
        <w:rPr>
          <w:rFonts w:hint="eastAsia" w:ascii="黑体" w:eastAsia="黑体"/>
          <w:color w:val="auto"/>
          <w:sz w:val="32"/>
          <w:szCs w:val="32"/>
          <w:highlight w:val="none"/>
        </w:rPr>
        <w:t>、</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3"/>
      <w:bookmarkEnd w:id="44"/>
    </w:p>
    <w:p>
      <w:pPr>
        <w:spacing w:line="600" w:lineRule="exact"/>
        <w:ind w:firstLine="640"/>
        <w:outlineLvl w:val="2"/>
        <w:rPr>
          <w:rFonts w:ascii="仿宋" w:hAnsi="仿宋" w:eastAsia="仿宋"/>
          <w:b/>
          <w:color w:val="auto"/>
          <w:sz w:val="32"/>
          <w:szCs w:val="32"/>
          <w:highlight w:val="none"/>
        </w:rPr>
      </w:pPr>
      <w:bookmarkStart w:id="45" w:name="_Toc15377216"/>
      <w:r>
        <w:rPr>
          <w:rFonts w:hint="eastAsia" w:ascii="仿宋" w:hAnsi="仿宋" w:eastAsia="仿宋"/>
          <w:b/>
          <w:color w:val="auto"/>
          <w:sz w:val="32"/>
          <w:szCs w:val="32"/>
          <w:highlight w:val="none"/>
        </w:rPr>
        <w:t>（一）“三公”经费财政拨款支出决算总体情况说明</w:t>
      </w:r>
      <w:bookmarkEnd w:id="45"/>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17.51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43.59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color w:val="000000"/>
          <w:sz w:val="32"/>
          <w:szCs w:val="32"/>
        </w:rPr>
        <w:t>比</w:t>
      </w:r>
      <w:r>
        <w:rPr>
          <w:rFonts w:ascii="仿宋" w:hAnsi="仿宋" w:eastAsia="仿宋" w:cs="Times New Roman"/>
          <w:color w:val="000000"/>
          <w:sz w:val="32"/>
          <w:szCs w:val="32"/>
        </w:rPr>
        <w:t>20</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eastAsia="zh-CN"/>
        </w:rPr>
        <w:t>的</w:t>
      </w:r>
      <w:r>
        <w:rPr>
          <w:rFonts w:hint="eastAsia" w:ascii="仿宋" w:hAnsi="仿宋" w:eastAsia="仿宋" w:cs="Times New Roman"/>
          <w:color w:val="000000"/>
          <w:sz w:val="32"/>
          <w:szCs w:val="32"/>
          <w:lang w:val="en-US" w:eastAsia="zh-CN"/>
        </w:rPr>
        <w:t>86.92万元</w:t>
      </w:r>
      <w:r>
        <w:rPr>
          <w:rFonts w:hint="eastAsia" w:ascii="仿宋" w:hAnsi="仿宋" w:eastAsia="仿宋" w:cs="Times New Roman"/>
          <w:color w:val="000000"/>
          <w:sz w:val="32"/>
          <w:szCs w:val="32"/>
        </w:rPr>
        <w:t>减少</w:t>
      </w:r>
      <w:r>
        <w:rPr>
          <w:rFonts w:hint="eastAsia" w:ascii="仿宋" w:hAnsi="仿宋" w:eastAsia="仿宋" w:cs="Times New Roman"/>
          <w:color w:val="000000"/>
          <w:sz w:val="32"/>
          <w:szCs w:val="32"/>
          <w:lang w:val="en-US" w:eastAsia="zh-CN"/>
        </w:rPr>
        <w:t>69.45</w:t>
      </w:r>
      <w:r>
        <w:rPr>
          <w:rFonts w:hint="eastAsia" w:ascii="仿宋" w:hAnsi="仿宋" w:eastAsia="仿宋" w:cs="Times New Roman"/>
          <w:color w:val="000000"/>
          <w:sz w:val="32"/>
          <w:szCs w:val="32"/>
        </w:rPr>
        <w:t>万元，下降</w:t>
      </w:r>
      <w:r>
        <w:rPr>
          <w:rFonts w:hint="eastAsia" w:ascii="仿宋" w:hAnsi="仿宋" w:eastAsia="仿宋" w:cs="Times New Roman"/>
          <w:color w:val="000000"/>
          <w:sz w:val="32"/>
          <w:szCs w:val="32"/>
          <w:lang w:val="en-US" w:eastAsia="zh-CN"/>
        </w:rPr>
        <w:t>79.9</w:t>
      </w:r>
      <w:r>
        <w:rPr>
          <w:rFonts w:ascii="仿宋" w:hAnsi="仿宋" w:eastAsia="仿宋" w:cs="Times New Roman"/>
          <w:color w:val="000000"/>
          <w:sz w:val="32"/>
          <w:szCs w:val="32"/>
        </w:rPr>
        <w:t>%</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主要原因是</w:t>
      </w:r>
      <w:r>
        <w:rPr>
          <w:rFonts w:hint="eastAsia" w:ascii="仿宋" w:hAnsi="仿宋" w:eastAsia="仿宋" w:cs="Times New Roman"/>
          <w:color w:val="000000"/>
          <w:sz w:val="32"/>
          <w:szCs w:val="32"/>
          <w:lang w:eastAsia="zh-CN"/>
        </w:rPr>
        <w:t>：一是</w:t>
      </w:r>
      <w:r>
        <w:rPr>
          <w:rFonts w:hint="eastAsia" w:ascii="仿宋" w:hAnsi="仿宋" w:eastAsia="仿宋" w:cs="Times New Roman"/>
          <w:color w:val="000000"/>
          <w:sz w:val="32"/>
          <w:szCs w:val="32"/>
          <w:lang w:val="en-US" w:eastAsia="zh-CN"/>
        </w:rPr>
        <w:t>2020年公务用车购置费支出59.23万元，2021年无公务用车购置费支出；剔除公务用车购置费支出，2021年</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eastAsia="zh-CN"/>
        </w:rPr>
        <w:t>及公务接待费支出比</w:t>
      </w:r>
      <w:r>
        <w:rPr>
          <w:rFonts w:hint="eastAsia" w:ascii="仿宋" w:hAnsi="仿宋" w:eastAsia="仿宋"/>
          <w:color w:val="auto"/>
          <w:sz w:val="32"/>
          <w:szCs w:val="32"/>
          <w:highlight w:val="none"/>
          <w:lang w:val="en-US" w:eastAsia="zh-CN"/>
        </w:rPr>
        <w:t>2020年</w:t>
      </w:r>
      <w:r>
        <w:rPr>
          <w:rFonts w:hint="eastAsia" w:ascii="仿宋" w:hAnsi="仿宋" w:eastAsia="仿宋" w:cs="Times New Roman"/>
          <w:color w:val="000000"/>
          <w:sz w:val="32"/>
          <w:szCs w:val="32"/>
        </w:rPr>
        <w:t>减少</w:t>
      </w:r>
      <w:r>
        <w:rPr>
          <w:rFonts w:hint="eastAsia" w:ascii="仿宋" w:hAnsi="仿宋" w:eastAsia="仿宋" w:cs="Times New Roman"/>
          <w:color w:val="000000"/>
          <w:sz w:val="32"/>
          <w:szCs w:val="32"/>
          <w:lang w:val="en-US" w:eastAsia="zh-CN"/>
        </w:rPr>
        <w:t>10.22</w:t>
      </w:r>
      <w:r>
        <w:rPr>
          <w:rFonts w:hint="eastAsia" w:ascii="仿宋" w:hAnsi="仿宋" w:eastAsia="仿宋" w:cs="Times New Roman"/>
          <w:color w:val="000000"/>
          <w:sz w:val="32"/>
          <w:szCs w:val="32"/>
        </w:rPr>
        <w:t>万元，下降</w:t>
      </w:r>
      <w:r>
        <w:rPr>
          <w:rFonts w:hint="eastAsia" w:ascii="仿宋" w:hAnsi="仿宋" w:eastAsia="仿宋" w:cs="Times New Roman"/>
          <w:color w:val="000000"/>
          <w:sz w:val="32"/>
          <w:szCs w:val="32"/>
          <w:lang w:val="en-US" w:eastAsia="zh-CN"/>
        </w:rPr>
        <w:t>36.9</w:t>
      </w:r>
      <w:r>
        <w:rPr>
          <w:rFonts w:ascii="仿宋" w:hAnsi="仿宋" w:eastAsia="仿宋" w:cs="Times New Roman"/>
          <w:color w:val="000000"/>
          <w:sz w:val="32"/>
          <w:szCs w:val="32"/>
        </w:rPr>
        <w:t>%</w:t>
      </w:r>
      <w:r>
        <w:rPr>
          <w:rFonts w:hint="eastAsia" w:ascii="仿宋" w:hAnsi="仿宋" w:eastAsia="仿宋" w:cs="Times New Roman"/>
          <w:color w:val="000000"/>
          <w:sz w:val="32"/>
          <w:szCs w:val="32"/>
          <w:lang w:eastAsia="zh-CN"/>
        </w:rPr>
        <w:t>，主要原因是</w:t>
      </w:r>
      <w:r>
        <w:rPr>
          <w:rFonts w:hint="default" w:ascii="仿宋_GB2312" w:hAnsi="Times New Roman" w:eastAsia="仿宋_GB2312" w:cs="仿宋_GB2312"/>
          <w:i w:val="0"/>
          <w:iCs w:val="0"/>
          <w:caps w:val="0"/>
          <w:color w:val="000000"/>
          <w:spacing w:val="0"/>
          <w:sz w:val="33"/>
          <w:szCs w:val="33"/>
          <w:shd w:val="clear" w:color="auto" w:fill="FFFFFF"/>
          <w:lang w:eastAsia="zh-CN"/>
        </w:rPr>
        <w:t>严格执行公务用车管理制度，严格落实公务用车加油、维修派车内部控制制度，公务用车运行维护费</w:t>
      </w:r>
      <w:r>
        <w:rPr>
          <w:rFonts w:hint="eastAsia" w:ascii="仿宋_GB2312" w:hAnsi="Times New Roman" w:eastAsia="仿宋_GB2312" w:cs="仿宋_GB2312"/>
          <w:i w:val="0"/>
          <w:iCs w:val="0"/>
          <w:caps w:val="0"/>
          <w:color w:val="000000"/>
          <w:spacing w:val="0"/>
          <w:sz w:val="33"/>
          <w:szCs w:val="33"/>
          <w:shd w:val="clear" w:color="auto" w:fill="FFFFFF"/>
          <w:lang w:eastAsia="zh-CN"/>
        </w:rPr>
        <w:t>比</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2020年大幅度下降</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 xml:space="preserve">  </w:t>
      </w:r>
      <w:r>
        <w:rPr>
          <w:rFonts w:hint="eastAsia" w:ascii="仿宋" w:hAnsi="仿宋" w:eastAsia="仿宋"/>
          <w:color w:val="auto"/>
          <w:sz w:val="32"/>
          <w:szCs w:val="32"/>
          <w:highlight w:val="none"/>
        </w:rPr>
        <w:t>决算数小于预算数（或与预算数持平）的主要原因是</w:t>
      </w:r>
      <w:r>
        <w:rPr>
          <w:rFonts w:hint="default" w:ascii="仿宋_GB2312" w:hAnsi="Times New Roman" w:eastAsia="仿宋_GB2312" w:cs="仿宋_GB2312"/>
          <w:i w:val="0"/>
          <w:iCs w:val="0"/>
          <w:caps w:val="0"/>
          <w:color w:val="000000"/>
          <w:spacing w:val="0"/>
          <w:sz w:val="33"/>
          <w:szCs w:val="33"/>
          <w:shd w:val="clear" w:color="auto" w:fill="FFFFFF"/>
          <w:lang w:eastAsia="zh-CN"/>
        </w:rPr>
        <w:t>严格执行公务用车管理制度，严格落实公务用车加油、维修派车内部控制制度，公务用车运行维护费决算比预算减少</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22.23</w:t>
      </w:r>
      <w:r>
        <w:rPr>
          <w:rFonts w:hint="default" w:ascii="仿宋_GB2312" w:hAnsi="Times New Roman" w:eastAsia="仿宋_GB2312" w:cs="仿宋_GB2312"/>
          <w:i w:val="0"/>
          <w:iCs w:val="0"/>
          <w:caps w:val="0"/>
          <w:color w:val="000000"/>
          <w:spacing w:val="0"/>
          <w:sz w:val="33"/>
          <w:szCs w:val="33"/>
          <w:shd w:val="clear" w:color="auto" w:fill="FFFFFF"/>
          <w:lang w:eastAsia="zh-CN"/>
        </w:rPr>
        <w:t>万余元。</w:t>
      </w:r>
      <w:r>
        <w:rPr>
          <w:rFonts w:hint="eastAsia" w:ascii="仿宋" w:hAnsi="仿宋" w:eastAsia="仿宋"/>
          <w:color w:val="auto"/>
          <w:sz w:val="32"/>
          <w:szCs w:val="32"/>
          <w:highlight w:val="none"/>
        </w:rPr>
        <w:t>（柱状图）</w:t>
      </w:r>
    </w:p>
    <w:p>
      <w:pPr>
        <w:pStyle w:val="8"/>
        <w:rPr>
          <w:rFonts w:hint="eastAsia" w:ascii="仿宋" w:hAnsi="仿宋" w:eastAsia="仿宋"/>
          <w:color w:val="auto"/>
          <w:sz w:val="32"/>
          <w:szCs w:val="32"/>
          <w:highlight w:val="none"/>
        </w:rPr>
      </w:pPr>
    </w:p>
    <w:p>
      <w:pPr>
        <w:jc w:val="center"/>
      </w:pPr>
      <w:r>
        <w:drawing>
          <wp:inline distT="0" distB="0" distL="114300" distR="114300">
            <wp:extent cx="4952365" cy="5130165"/>
            <wp:effectExtent l="0" t="0" r="635" b="13335"/>
            <wp:docPr id="25" name="图片 24"/>
            <wp:cNvGraphicFramePr/>
            <a:graphic xmlns:a="http://schemas.openxmlformats.org/drawingml/2006/main">
              <a:graphicData uri="http://schemas.openxmlformats.org/drawingml/2006/picture">
                <pic:pic xmlns:pic="http://schemas.openxmlformats.org/drawingml/2006/picture">
                  <pic:nvPicPr>
                    <pic:cNvPr id="25" name="图片 24"/>
                    <pic:cNvPicPr/>
                  </pic:nvPicPr>
                  <pic:blipFill>
                    <a:blip r:embed="rId18"/>
                    <a:stretch>
                      <a:fillRect/>
                    </a:stretch>
                  </pic:blipFill>
                  <pic:spPr>
                    <a:xfrm>
                      <a:off x="0" y="0"/>
                      <a:ext cx="4952365" cy="5130165"/>
                    </a:xfrm>
                    <a:prstGeom prst="rect">
                      <a:avLst/>
                    </a:prstGeom>
                    <a:extLst>
                      <wpswe:webExtensionRef xmlns:wpswe="http://www.wps.cn/officeDocument/2018/webExtension" r:id="rId17"/>
                    </a:extLst>
                  </pic:spPr>
                </pic:pic>
              </a:graphicData>
            </a:graphic>
          </wp:inline>
        </w:drawing>
      </w:r>
    </w:p>
    <w:p>
      <w:pPr>
        <w:spacing w:line="600" w:lineRule="exact"/>
        <w:ind w:firstLine="321" w:firstLineChars="100"/>
        <w:outlineLvl w:val="2"/>
        <w:rPr>
          <w:rFonts w:ascii="仿宋" w:hAnsi="仿宋" w:eastAsia="仿宋"/>
          <w:b/>
          <w:color w:val="auto"/>
          <w:sz w:val="32"/>
          <w:szCs w:val="32"/>
          <w:highlight w:val="none"/>
        </w:rPr>
      </w:pPr>
      <w:bookmarkStart w:id="46" w:name="_Toc15377217"/>
      <w:r>
        <w:rPr>
          <w:rFonts w:hint="eastAsia" w:ascii="仿宋" w:hAnsi="仿宋" w:eastAsia="仿宋"/>
          <w:b/>
          <w:color w:val="auto"/>
          <w:sz w:val="32"/>
          <w:szCs w:val="32"/>
          <w:highlight w:val="none"/>
        </w:rPr>
        <w:t>（二）“三公”经费财政拨款支出决算具体情况说明</w:t>
      </w:r>
      <w:bookmarkEnd w:id="4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w:t>
      </w:r>
      <w:r>
        <w:rPr>
          <w:rFonts w:hint="eastAsia" w:ascii="仿宋" w:hAnsi="仿宋" w:eastAsia="仿宋"/>
          <w:color w:val="000000"/>
          <w:sz w:val="32"/>
          <w:szCs w:val="32"/>
          <w:lang w:val="en-US" w:eastAsia="zh-CN"/>
        </w:rPr>
        <w:t>17.51</w:t>
      </w:r>
      <w:r>
        <w:rPr>
          <w:rFonts w:hint="eastAsia" w:ascii="仿宋" w:hAnsi="仿宋" w:eastAsia="仿宋" w:cs="Times New Roman"/>
          <w:color w:val="000000"/>
          <w:sz w:val="32"/>
          <w:szCs w:val="32"/>
        </w:rPr>
        <w:t>万元，比</w:t>
      </w:r>
      <w:r>
        <w:rPr>
          <w:rFonts w:ascii="仿宋" w:hAnsi="仿宋" w:eastAsia="仿宋" w:cs="Times New Roman"/>
          <w:color w:val="000000"/>
          <w:sz w:val="32"/>
          <w:szCs w:val="32"/>
        </w:rPr>
        <w:t>20</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eastAsia="zh-CN"/>
        </w:rPr>
        <w:t>的</w:t>
      </w:r>
      <w:r>
        <w:rPr>
          <w:rFonts w:hint="eastAsia" w:ascii="仿宋" w:hAnsi="仿宋" w:eastAsia="仿宋" w:cs="Times New Roman"/>
          <w:color w:val="000000"/>
          <w:sz w:val="32"/>
          <w:szCs w:val="32"/>
          <w:lang w:val="en-US" w:eastAsia="zh-CN"/>
        </w:rPr>
        <w:t>86.92万元</w:t>
      </w:r>
      <w:r>
        <w:rPr>
          <w:rFonts w:hint="eastAsia" w:ascii="仿宋" w:hAnsi="仿宋" w:eastAsia="仿宋" w:cs="Times New Roman"/>
          <w:color w:val="000000"/>
          <w:sz w:val="32"/>
          <w:szCs w:val="32"/>
        </w:rPr>
        <w:t>减少</w:t>
      </w:r>
      <w:r>
        <w:rPr>
          <w:rFonts w:hint="eastAsia" w:ascii="仿宋" w:hAnsi="仿宋" w:eastAsia="仿宋" w:cs="Times New Roman"/>
          <w:color w:val="000000"/>
          <w:sz w:val="32"/>
          <w:szCs w:val="32"/>
          <w:lang w:val="en-US" w:eastAsia="zh-CN"/>
        </w:rPr>
        <w:t>69.45</w:t>
      </w:r>
      <w:r>
        <w:rPr>
          <w:rFonts w:hint="eastAsia" w:ascii="仿宋" w:hAnsi="仿宋" w:eastAsia="仿宋" w:cs="Times New Roman"/>
          <w:color w:val="000000"/>
          <w:sz w:val="32"/>
          <w:szCs w:val="32"/>
        </w:rPr>
        <w:t>万元，下降</w:t>
      </w:r>
      <w:r>
        <w:rPr>
          <w:rFonts w:hint="eastAsia" w:ascii="仿宋" w:hAnsi="仿宋" w:eastAsia="仿宋" w:cs="Times New Roman"/>
          <w:color w:val="000000"/>
          <w:sz w:val="32"/>
          <w:szCs w:val="32"/>
          <w:lang w:val="en-US" w:eastAsia="zh-CN"/>
        </w:rPr>
        <w:t>79.9</w:t>
      </w:r>
      <w:r>
        <w:rPr>
          <w:rFonts w:ascii="仿宋" w:hAnsi="仿宋" w:eastAsia="仿宋" w:cs="Times New Roman"/>
          <w:color w:val="000000"/>
          <w:sz w:val="32"/>
          <w:szCs w:val="32"/>
        </w:rPr>
        <w:t>%</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主要原因是</w:t>
      </w:r>
      <w:r>
        <w:rPr>
          <w:rFonts w:hint="eastAsia" w:ascii="仿宋" w:hAnsi="仿宋" w:eastAsia="仿宋" w:cs="Times New Roman"/>
          <w:color w:val="000000"/>
          <w:sz w:val="32"/>
          <w:szCs w:val="32"/>
          <w:lang w:eastAsia="zh-CN"/>
        </w:rPr>
        <w:t>：一是</w:t>
      </w:r>
      <w:r>
        <w:rPr>
          <w:rFonts w:hint="eastAsia" w:ascii="仿宋" w:hAnsi="仿宋" w:eastAsia="仿宋" w:cs="Times New Roman"/>
          <w:color w:val="000000"/>
          <w:sz w:val="32"/>
          <w:szCs w:val="32"/>
          <w:lang w:val="en-US" w:eastAsia="zh-CN"/>
        </w:rPr>
        <w:t>2020年公务用车购置费支出59.23万元，2021年无公务用车购置费支出；剔除公务用车购置费支出，2021年</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eastAsia="zh-CN"/>
        </w:rPr>
        <w:t>及公务接待费支出比</w:t>
      </w:r>
      <w:r>
        <w:rPr>
          <w:rFonts w:hint="eastAsia" w:ascii="仿宋" w:hAnsi="仿宋" w:eastAsia="仿宋"/>
          <w:color w:val="auto"/>
          <w:sz w:val="32"/>
          <w:szCs w:val="32"/>
          <w:highlight w:val="none"/>
          <w:lang w:val="en-US" w:eastAsia="zh-CN"/>
        </w:rPr>
        <w:t>2020年</w:t>
      </w:r>
      <w:r>
        <w:rPr>
          <w:rFonts w:hint="eastAsia" w:ascii="仿宋" w:hAnsi="仿宋" w:eastAsia="仿宋" w:cs="Times New Roman"/>
          <w:color w:val="000000"/>
          <w:sz w:val="32"/>
          <w:szCs w:val="32"/>
        </w:rPr>
        <w:t>减少</w:t>
      </w:r>
      <w:r>
        <w:rPr>
          <w:rFonts w:hint="eastAsia" w:ascii="仿宋" w:hAnsi="仿宋" w:eastAsia="仿宋" w:cs="Times New Roman"/>
          <w:color w:val="000000"/>
          <w:sz w:val="32"/>
          <w:szCs w:val="32"/>
          <w:lang w:val="en-US" w:eastAsia="zh-CN"/>
        </w:rPr>
        <w:t>10.22</w:t>
      </w:r>
      <w:r>
        <w:rPr>
          <w:rFonts w:hint="eastAsia" w:ascii="仿宋" w:hAnsi="仿宋" w:eastAsia="仿宋" w:cs="Times New Roman"/>
          <w:color w:val="000000"/>
          <w:sz w:val="32"/>
          <w:szCs w:val="32"/>
        </w:rPr>
        <w:t>万元，下降</w:t>
      </w:r>
      <w:r>
        <w:rPr>
          <w:rFonts w:hint="eastAsia" w:ascii="仿宋" w:hAnsi="仿宋" w:eastAsia="仿宋" w:cs="Times New Roman"/>
          <w:color w:val="000000"/>
          <w:sz w:val="32"/>
          <w:szCs w:val="32"/>
          <w:lang w:val="en-US" w:eastAsia="zh-CN"/>
        </w:rPr>
        <w:t>36.9</w:t>
      </w:r>
      <w:r>
        <w:rPr>
          <w:rFonts w:ascii="仿宋" w:hAnsi="仿宋" w:eastAsia="仿宋" w:cs="Times New Roman"/>
          <w:color w:val="000000"/>
          <w:sz w:val="32"/>
          <w:szCs w:val="32"/>
        </w:rPr>
        <w:t>%</w:t>
      </w:r>
      <w:r>
        <w:rPr>
          <w:rFonts w:hint="eastAsia" w:ascii="仿宋" w:hAnsi="仿宋" w:eastAsia="仿宋" w:cs="Times New Roman"/>
          <w:color w:val="000000"/>
          <w:sz w:val="32"/>
          <w:szCs w:val="32"/>
          <w:lang w:eastAsia="zh-CN"/>
        </w:rPr>
        <w:t>，主要原因是</w:t>
      </w:r>
      <w:r>
        <w:rPr>
          <w:rFonts w:hint="default" w:ascii="仿宋_GB2312" w:hAnsi="Times New Roman" w:eastAsia="仿宋_GB2312" w:cs="仿宋_GB2312"/>
          <w:i w:val="0"/>
          <w:iCs w:val="0"/>
          <w:caps w:val="0"/>
          <w:color w:val="000000"/>
          <w:spacing w:val="0"/>
          <w:sz w:val="33"/>
          <w:szCs w:val="33"/>
          <w:shd w:val="clear" w:color="auto" w:fill="FFFFFF"/>
          <w:lang w:eastAsia="zh-CN"/>
        </w:rPr>
        <w:t>严格执行公务用车管理制度，严格落实公务用车加油、维修派车内部控制制度，公务用车运行维护费</w:t>
      </w:r>
      <w:r>
        <w:rPr>
          <w:rFonts w:hint="eastAsia" w:ascii="仿宋_GB2312" w:hAnsi="Times New Roman" w:eastAsia="仿宋_GB2312" w:cs="仿宋_GB2312"/>
          <w:i w:val="0"/>
          <w:iCs w:val="0"/>
          <w:caps w:val="0"/>
          <w:color w:val="000000"/>
          <w:spacing w:val="0"/>
          <w:sz w:val="33"/>
          <w:szCs w:val="33"/>
          <w:shd w:val="clear" w:color="auto" w:fill="FFFFFF"/>
          <w:lang w:eastAsia="zh-CN"/>
        </w:rPr>
        <w:t>比</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2020年大幅度下降</w:t>
      </w:r>
      <w:r>
        <w:rPr>
          <w:rFonts w:hint="eastAsia" w:ascii="仿宋" w:hAnsi="仿宋" w:eastAsia="仿宋" w:cs="Times New Roman"/>
          <w:color w:val="000000"/>
          <w:sz w:val="32"/>
          <w:szCs w:val="32"/>
          <w:lang w:eastAsia="zh-CN"/>
        </w:rPr>
        <w:t>。其中：</w:t>
      </w:r>
      <w:r>
        <w:rPr>
          <w:rFonts w:hint="eastAsia" w:ascii="仿宋" w:hAnsi="仿宋" w:eastAsia="仿宋"/>
          <w:color w:val="auto"/>
          <w:sz w:val="32"/>
          <w:szCs w:val="32"/>
          <w:highlight w:val="none"/>
        </w:rPr>
        <w:t>因公出国（境）费</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16.97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全部为</w:t>
      </w:r>
      <w:r>
        <w:rPr>
          <w:rFonts w:hint="eastAsia" w:ascii="仿宋" w:hAnsi="仿宋" w:eastAsia="仿宋"/>
          <w:color w:val="auto"/>
          <w:sz w:val="32"/>
          <w:szCs w:val="32"/>
          <w:highlight w:val="none"/>
        </w:rPr>
        <w:t>公务用车运行维护费支出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97.14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国内</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2.86%。</w:t>
      </w:r>
      <w:r>
        <w:rPr>
          <w:rFonts w:hint="eastAsia" w:ascii="仿宋" w:hAnsi="仿宋" w:eastAsia="仿宋"/>
          <w:color w:val="000000"/>
          <w:sz w:val="32"/>
          <w:szCs w:val="32"/>
        </w:rPr>
        <w:t>具体情况如下：</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420" w:firstLineChars="200"/>
      </w:pPr>
    </w:p>
    <w:p>
      <w:pPr>
        <w:pStyle w:val="8"/>
      </w:pPr>
    </w:p>
    <w:p/>
    <w:p>
      <w:pPr>
        <w:pStyle w:val="8"/>
      </w:pPr>
    </w:p>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-2438400</wp:posOffset>
            </wp:positionV>
            <wp:extent cx="4572000" cy="2743200"/>
            <wp:effectExtent l="0" t="0" r="0" b="0"/>
            <wp:wrapNone/>
            <wp:docPr id="27"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firstLineChars="200"/>
        <w:rPr>
          <w:rFonts w:ascii="黑体" w:eastAsia="黑体"/>
          <w:color w:val="auto"/>
          <w:sz w:val="32"/>
          <w:szCs w:val="32"/>
          <w:highlight w:val="none"/>
        </w:rPr>
      </w:pPr>
      <w:bookmarkStart w:id="47" w:name="_Toc15396610"/>
      <w:bookmarkStart w:id="48" w:name="_Toc15377218"/>
    </w:p>
    <w:p>
      <w:pPr>
        <w:pStyle w:val="2"/>
        <w:numPr>
          <w:ilvl w:val="0"/>
          <w:numId w:val="3"/>
        </w:numPr>
        <w:ind w:firstLine="643" w:firstLineChars="200"/>
        <w:rPr>
          <w:rFonts w:hint="eastAsia"/>
          <w:b/>
          <w:color w:val="000000"/>
          <w:sz w:val="32"/>
          <w:szCs w:val="32"/>
          <w:lang w:eastAsia="zh-CN"/>
        </w:rPr>
      </w:pPr>
      <w:r>
        <w:rPr>
          <w:rFonts w:hint="eastAsia"/>
          <w:b/>
          <w:color w:val="000000"/>
          <w:sz w:val="32"/>
          <w:szCs w:val="32"/>
          <w:lang w:val="en-US" w:eastAsia="zh-CN"/>
        </w:rPr>
        <w:t>2021年无</w:t>
      </w:r>
      <w:r>
        <w:rPr>
          <w:rFonts w:hint="eastAsia" w:ascii="仿宋_GB2312" w:eastAsia="仿宋_GB2312"/>
          <w:b/>
          <w:color w:val="000000"/>
          <w:sz w:val="32"/>
          <w:szCs w:val="32"/>
        </w:rPr>
        <w:t>因公出国（境）经费支出</w:t>
      </w:r>
      <w:r>
        <w:rPr>
          <w:rFonts w:hint="eastAsia"/>
          <w:b/>
          <w:color w:val="000000"/>
          <w:sz w:val="32"/>
          <w:szCs w:val="32"/>
          <w:lang w:eastAsia="zh-CN"/>
        </w:rPr>
        <w:t>。</w:t>
      </w:r>
    </w:p>
    <w:p>
      <w:pPr>
        <w:numPr>
          <w:ilvl w:val="0"/>
          <w:numId w:val="3"/>
        </w:numPr>
        <w:spacing w:line="600" w:lineRule="exact"/>
        <w:ind w:left="0" w:leftChars="0"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公务用车购置及运行维护费支出</w:t>
      </w:r>
      <w:r>
        <w:rPr>
          <w:rFonts w:hint="eastAsia" w:ascii="仿宋" w:hAnsi="仿宋" w:eastAsia="仿宋"/>
          <w:color w:val="auto"/>
          <w:sz w:val="32"/>
          <w:szCs w:val="32"/>
          <w:highlight w:val="none"/>
          <w:lang w:val="en-US" w:eastAsia="zh-CN"/>
        </w:rPr>
        <w:t>16.97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全部为</w:t>
      </w:r>
      <w:r>
        <w:rPr>
          <w:rFonts w:hint="eastAsia" w:ascii="仿宋" w:hAnsi="仿宋" w:eastAsia="仿宋"/>
          <w:color w:val="auto"/>
          <w:sz w:val="32"/>
          <w:szCs w:val="32"/>
          <w:highlight w:val="none"/>
        </w:rPr>
        <w:t>公务用车运行维护费支出</w:t>
      </w:r>
      <w:r>
        <w:rPr>
          <w:rFonts w:hint="eastAsia"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43.29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86万元，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69.03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80.27</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w:t>
      </w:r>
      <w:r>
        <w:rPr>
          <w:rFonts w:hint="eastAsia" w:ascii="仿宋" w:hAnsi="仿宋" w:eastAsia="仿宋" w:cs="Times New Roman"/>
          <w:color w:val="000000"/>
          <w:sz w:val="32"/>
          <w:szCs w:val="32"/>
          <w:lang w:eastAsia="zh-CN"/>
        </w:rPr>
        <w:t>一是</w:t>
      </w:r>
      <w:r>
        <w:rPr>
          <w:rFonts w:hint="eastAsia" w:ascii="仿宋" w:hAnsi="仿宋" w:eastAsia="仿宋" w:cs="Times New Roman"/>
          <w:color w:val="000000"/>
          <w:sz w:val="32"/>
          <w:szCs w:val="32"/>
          <w:lang w:val="en-US" w:eastAsia="zh-CN"/>
        </w:rPr>
        <w:t>2020年公务用车购置费支出59.23万元，2021年无公务用车购置费支出；二是</w:t>
      </w:r>
      <w:r>
        <w:rPr>
          <w:rFonts w:hint="default" w:ascii="仿宋_GB2312" w:hAnsi="Times New Roman" w:eastAsia="仿宋_GB2312" w:cs="仿宋_GB2312"/>
          <w:i w:val="0"/>
          <w:iCs w:val="0"/>
          <w:caps w:val="0"/>
          <w:color w:val="000000"/>
          <w:spacing w:val="0"/>
          <w:sz w:val="33"/>
          <w:szCs w:val="33"/>
          <w:shd w:val="clear" w:color="auto" w:fill="FFFFFF"/>
          <w:lang w:eastAsia="zh-CN"/>
        </w:rPr>
        <w:t>严格执行公务用车管理制度，严格落实公务用车加油、维修派车内部控制制度</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b/>
          <w:color w:val="000000"/>
          <w:sz w:val="32"/>
          <w:szCs w:val="32"/>
          <w:lang w:eastAsia="zh-CN"/>
        </w:rPr>
        <w:t>无，</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numPr>
          <w:ilvl w:val="0"/>
          <w:numId w:val="0"/>
        </w:numPr>
        <w:spacing w:line="600" w:lineRule="exact"/>
        <w:ind w:firstLine="1285" w:firstLineChars="40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auto"/>
          <w:sz w:val="32"/>
          <w:szCs w:val="32"/>
          <w:highlight w:val="none"/>
          <w:lang w:val="en-US" w:eastAsia="zh-CN"/>
        </w:rPr>
        <w:t>16.97</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p>
    <w:p>
      <w:pPr>
        <w:numPr>
          <w:ilvl w:val="0"/>
          <w:numId w:val="0"/>
        </w:numPr>
        <w:spacing w:line="600" w:lineRule="exact"/>
        <w:rPr>
          <w:rFonts w:ascii="仿宋_GB2312" w:eastAsia="仿宋_GB2312"/>
          <w:color w:val="000000"/>
          <w:sz w:val="32"/>
          <w:szCs w:val="32"/>
        </w:rPr>
      </w:pP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26.77万元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36.6</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w:t>
      </w:r>
      <w:r>
        <w:rPr>
          <w:rFonts w:hint="default" w:ascii="仿宋_GB2312" w:hAnsi="Times New Roman" w:eastAsia="仿宋_GB2312" w:cs="仿宋_GB2312"/>
          <w:i w:val="0"/>
          <w:iCs w:val="0"/>
          <w:caps w:val="0"/>
          <w:color w:val="000000"/>
          <w:spacing w:val="0"/>
          <w:sz w:val="33"/>
          <w:szCs w:val="33"/>
          <w:shd w:val="clear" w:color="auto" w:fill="FFFFFF"/>
          <w:lang w:eastAsia="zh-CN"/>
        </w:rPr>
        <w:t>严格执行公务用车管理制度，严格落实公务用车加油、维修派车内部控制制度</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检察办案及乡村振兴</w:t>
      </w:r>
      <w:r>
        <w:rPr>
          <w:rFonts w:hint="eastAsia" w:ascii="仿宋_GB2312" w:eastAsia="仿宋_GB2312"/>
          <w:color w:val="000000"/>
          <w:sz w:val="32"/>
          <w:szCs w:val="32"/>
        </w:rPr>
        <w:t>所需的公务用车燃料费、维修费、过路过桥费、保险费等支出。</w:t>
      </w:r>
    </w:p>
    <w:p>
      <w:pPr>
        <w:spacing w:line="600" w:lineRule="exact"/>
        <w:ind w:firstLine="964" w:firstLineChars="3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56.82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hAnsi="Times New Roman" w:eastAsia="仿宋_GB2312" w:cs="Times New Roman"/>
          <w:color w:val="000000"/>
          <w:sz w:val="32"/>
          <w:szCs w:val="32"/>
          <w:lang w:eastAsia="zh-CN"/>
        </w:rPr>
        <w:t>的</w:t>
      </w:r>
      <w:r>
        <w:rPr>
          <w:rFonts w:hint="eastAsia" w:ascii="仿宋_GB2312" w:hAnsi="Times New Roman" w:eastAsia="仿宋_GB2312" w:cs="Times New Roman"/>
          <w:color w:val="000000"/>
          <w:sz w:val="32"/>
          <w:szCs w:val="32"/>
          <w:lang w:val="en-US" w:eastAsia="zh-CN"/>
        </w:rPr>
        <w:t>0.92万元</w:t>
      </w:r>
      <w:r>
        <w:rPr>
          <w:rFonts w:hint="eastAsia" w:ascii="仿宋_GB2312" w:hAnsi="Times New Roman" w:eastAsia="仿宋_GB2312" w:cs="Times New Roman"/>
          <w:color w:val="000000"/>
          <w:sz w:val="32"/>
          <w:szCs w:val="32"/>
        </w:rPr>
        <w:t>减少</w:t>
      </w:r>
      <w:r>
        <w:rPr>
          <w:rFonts w:hint="eastAsia" w:ascii="仿宋_GB2312" w:hAnsi="Times New Roman" w:eastAsia="仿宋_GB2312" w:cs="Times New Roman"/>
          <w:color w:val="000000"/>
          <w:sz w:val="32"/>
          <w:szCs w:val="32"/>
          <w:lang w:val="en-US" w:eastAsia="zh-CN"/>
        </w:rPr>
        <w:t>0.42</w:t>
      </w:r>
      <w:r>
        <w:rPr>
          <w:rFonts w:hint="eastAsia" w:ascii="仿宋_GB2312" w:hAnsi="Times New Roman" w:eastAsia="仿宋_GB2312" w:cs="Times New Roman"/>
          <w:color w:val="000000"/>
          <w:sz w:val="32"/>
          <w:szCs w:val="32"/>
        </w:rPr>
        <w:t>万元，下降</w:t>
      </w:r>
      <w:r>
        <w:rPr>
          <w:rFonts w:hint="eastAsia" w:ascii="仿宋_GB2312" w:hAnsi="Times New Roman" w:eastAsia="仿宋_GB2312" w:cs="Times New Roman"/>
          <w:color w:val="000000"/>
          <w:sz w:val="32"/>
          <w:szCs w:val="32"/>
          <w:lang w:val="en-US" w:eastAsia="zh-CN"/>
        </w:rPr>
        <w:t>45.65</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主要原因是</w:t>
      </w:r>
      <w:r>
        <w:rPr>
          <w:rFonts w:hint="eastAsia" w:ascii="仿宋_GB2312" w:hAnsi="Times New Roman" w:eastAsia="仿宋_GB2312" w:cs="Times New Roman"/>
          <w:color w:val="000000"/>
          <w:sz w:val="32"/>
          <w:szCs w:val="32"/>
          <w:lang w:eastAsia="zh-CN"/>
        </w:rPr>
        <w:t>严格落实国内公务接待管理制度。</w:t>
      </w:r>
      <w:r>
        <w:rPr>
          <w:rFonts w:hint="eastAsia" w:ascii="仿宋_GB2312" w:eastAsia="仿宋_GB2312"/>
          <w:color w:val="000000"/>
          <w:sz w:val="32"/>
          <w:szCs w:val="32"/>
        </w:rPr>
        <w:t>其中：</w:t>
      </w:r>
    </w:p>
    <w:p>
      <w:pPr>
        <w:spacing w:line="600" w:lineRule="exact"/>
        <w:ind w:firstLine="640"/>
        <w:rPr>
          <w:rFonts w:hint="eastAsia" w:ascii="仿宋_GB2312" w:hAnsi="Times New Roman" w:eastAsia="仿宋_GB2312" w:cs="Times New Roman"/>
          <w:color w:val="000000"/>
          <w:sz w:val="32"/>
          <w:szCs w:val="32"/>
          <w:lang w:val="en-US"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w:t>
      </w:r>
      <w:r>
        <w:rPr>
          <w:rFonts w:hint="eastAsia" w:ascii="仿宋_GB2312" w:hAnsi="Times New Roman" w:eastAsia="仿宋_GB2312" w:cs="Times New Roman"/>
          <w:color w:val="000000"/>
          <w:sz w:val="32"/>
          <w:szCs w:val="32"/>
        </w:rPr>
        <w:t>比20</w:t>
      </w:r>
      <w:r>
        <w:rPr>
          <w:rFonts w:hint="eastAsia" w:ascii="仿宋_GB2312" w:hAnsi="Times New Roman" w:eastAsia="仿宋_GB2312" w:cs="Times New Roman"/>
          <w:color w:val="000000"/>
          <w:sz w:val="32"/>
          <w:szCs w:val="32"/>
          <w:lang w:val="en-US" w:eastAsia="zh-CN"/>
        </w:rPr>
        <w:t>20</w:t>
      </w:r>
      <w:r>
        <w:rPr>
          <w:rFonts w:hint="eastAsia" w:ascii="仿宋_GB2312" w:hAnsi="Times New Roman" w:eastAsia="仿宋_GB2312" w:cs="Times New Roman"/>
          <w:color w:val="000000"/>
          <w:sz w:val="32"/>
          <w:szCs w:val="32"/>
        </w:rPr>
        <w:t>年</w:t>
      </w:r>
      <w:r>
        <w:rPr>
          <w:rFonts w:hint="eastAsia" w:ascii="仿宋_GB2312" w:hAnsi="Times New Roman" w:eastAsia="仿宋_GB2312" w:cs="Times New Roman"/>
          <w:color w:val="000000"/>
          <w:sz w:val="32"/>
          <w:szCs w:val="32"/>
          <w:lang w:eastAsia="zh-CN"/>
        </w:rPr>
        <w:t>的</w:t>
      </w:r>
      <w:r>
        <w:rPr>
          <w:rFonts w:hint="eastAsia" w:ascii="仿宋_GB2312" w:hAnsi="Times New Roman" w:eastAsia="仿宋_GB2312" w:cs="Times New Roman"/>
          <w:color w:val="000000"/>
          <w:sz w:val="32"/>
          <w:szCs w:val="32"/>
          <w:lang w:val="en-US" w:eastAsia="zh-CN"/>
        </w:rPr>
        <w:t>0.92万元</w:t>
      </w:r>
      <w:r>
        <w:rPr>
          <w:rFonts w:hint="eastAsia" w:ascii="仿宋_GB2312" w:hAnsi="Times New Roman" w:eastAsia="仿宋_GB2312" w:cs="Times New Roman"/>
          <w:color w:val="000000"/>
          <w:sz w:val="32"/>
          <w:szCs w:val="32"/>
        </w:rPr>
        <w:t>减少</w:t>
      </w:r>
      <w:r>
        <w:rPr>
          <w:rFonts w:hint="eastAsia" w:ascii="仿宋_GB2312" w:hAnsi="Times New Roman" w:eastAsia="仿宋_GB2312" w:cs="Times New Roman"/>
          <w:color w:val="000000"/>
          <w:sz w:val="32"/>
          <w:szCs w:val="32"/>
          <w:lang w:val="en-US" w:eastAsia="zh-CN"/>
        </w:rPr>
        <w:t>0.42</w:t>
      </w:r>
      <w:r>
        <w:rPr>
          <w:rFonts w:hint="eastAsia" w:ascii="仿宋_GB2312" w:hAnsi="Times New Roman" w:eastAsia="仿宋_GB2312" w:cs="Times New Roman"/>
          <w:color w:val="000000"/>
          <w:sz w:val="32"/>
          <w:szCs w:val="32"/>
        </w:rPr>
        <w:t>万元，下降</w:t>
      </w:r>
      <w:r>
        <w:rPr>
          <w:rFonts w:hint="eastAsia" w:ascii="仿宋_GB2312" w:hAnsi="Times New Roman" w:eastAsia="仿宋_GB2312" w:cs="Times New Roman"/>
          <w:color w:val="000000"/>
          <w:sz w:val="32"/>
          <w:szCs w:val="32"/>
          <w:lang w:val="en-US" w:eastAsia="zh-CN"/>
        </w:rPr>
        <w:t>45.65</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主要原因是</w:t>
      </w:r>
      <w:r>
        <w:rPr>
          <w:rFonts w:hint="eastAsia" w:ascii="仿宋_GB2312" w:hAnsi="Times New Roman" w:eastAsia="仿宋_GB2312" w:cs="Times New Roman"/>
          <w:color w:val="000000"/>
          <w:sz w:val="32"/>
          <w:szCs w:val="32"/>
          <w:lang w:eastAsia="zh-CN"/>
        </w:rPr>
        <w:t>严格落实国内公务接待管理制度。</w:t>
      </w:r>
      <w:r>
        <w:rPr>
          <w:rFonts w:hint="eastAsia" w:ascii="仿宋_GB2312" w:hAnsi="Times New Roman" w:eastAsia="仿宋_GB2312" w:cs="Times New Roman"/>
          <w:color w:val="000000"/>
          <w:sz w:val="32"/>
          <w:szCs w:val="32"/>
        </w:rPr>
        <w:t>主要用于</w:t>
      </w:r>
      <w:r>
        <w:rPr>
          <w:rFonts w:hint="eastAsia" w:ascii="仿宋_GB2312" w:hAnsi="Times New Roman" w:eastAsia="仿宋_GB2312" w:cs="Times New Roman"/>
          <w:color w:val="000000"/>
          <w:sz w:val="32"/>
          <w:szCs w:val="32"/>
          <w:lang w:eastAsia="zh-CN"/>
        </w:rPr>
        <w:t>广安市及重庆市检察系统来邻学习、交流、调研开支的用餐费，同内公务接待共</w:t>
      </w:r>
      <w:r>
        <w:rPr>
          <w:rFonts w:hint="eastAsia" w:ascii="仿宋_GB2312" w:hAnsi="Times New Roman" w:eastAsia="仿宋_GB2312" w:cs="Times New Roman"/>
          <w:color w:val="000000"/>
          <w:sz w:val="32"/>
          <w:szCs w:val="32"/>
          <w:lang w:val="en-US" w:eastAsia="zh-CN"/>
        </w:rPr>
        <w:t>11批次66人次</w:t>
      </w:r>
      <w:r>
        <w:rPr>
          <w:rFonts w:hint="eastAsia" w:ascii="仿宋_GB2312" w:hAnsi="Times New Roman" w:eastAsia="仿宋_GB2312" w:cs="Times New Roman"/>
          <w:color w:val="000000"/>
          <w:sz w:val="32"/>
          <w:szCs w:val="32"/>
        </w:rPr>
        <w:t>（不包括陪同人员）</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具体内容包括：</w:t>
      </w:r>
      <w:r>
        <w:rPr>
          <w:rFonts w:hint="eastAsia" w:ascii="仿宋_GB2312" w:hAnsi="Times New Roman" w:eastAsia="仿宋_GB2312" w:cs="Times New Roman"/>
          <w:color w:val="000000"/>
          <w:sz w:val="32"/>
          <w:szCs w:val="32"/>
          <w:lang w:eastAsia="zh-CN"/>
        </w:rPr>
        <w:t>广安市检察系统来邻办案、交流、调研接待</w:t>
      </w:r>
      <w:r>
        <w:rPr>
          <w:rFonts w:hint="eastAsia" w:ascii="仿宋_GB2312" w:hAnsi="Times New Roman" w:eastAsia="仿宋_GB2312" w:cs="Times New Roman"/>
          <w:color w:val="000000"/>
          <w:sz w:val="32"/>
          <w:szCs w:val="32"/>
          <w:lang w:val="en-US" w:eastAsia="zh-CN"/>
        </w:rPr>
        <w:t>10批次61人</w:t>
      </w:r>
      <w:r>
        <w:rPr>
          <w:rFonts w:hint="eastAsia" w:ascii="仿宋_GB2312" w:hAnsi="Times New Roman" w:eastAsia="仿宋_GB2312" w:cs="Times New Roman"/>
          <w:color w:val="000000"/>
          <w:sz w:val="32"/>
          <w:szCs w:val="32"/>
        </w:rPr>
        <w:t>（不包括陪同人员）</w:t>
      </w:r>
      <w:r>
        <w:rPr>
          <w:rFonts w:hint="eastAsia" w:ascii="仿宋_GB2312" w:hAnsi="Times New Roman" w:eastAsia="仿宋_GB2312" w:cs="Times New Roman"/>
          <w:color w:val="000000"/>
          <w:sz w:val="32"/>
          <w:szCs w:val="32"/>
          <w:lang w:eastAsia="zh-CN"/>
        </w:rPr>
        <w:t>，支出</w:t>
      </w:r>
      <w:r>
        <w:rPr>
          <w:rFonts w:hint="eastAsia" w:ascii="仿宋_GB2312" w:eastAsia="仿宋_GB2312" w:cs="Times New Roman"/>
          <w:color w:val="000000"/>
          <w:sz w:val="32"/>
          <w:szCs w:val="32"/>
          <w:lang w:val="en-US" w:eastAsia="zh-CN"/>
        </w:rPr>
        <w:t>51</w:t>
      </w:r>
      <w:r>
        <w:rPr>
          <w:rFonts w:hint="eastAsia" w:ascii="仿宋_GB2312" w:hAnsi="Times New Roman" w:eastAsia="仿宋_GB2312" w:cs="Times New Roman"/>
          <w:color w:val="000000"/>
          <w:sz w:val="32"/>
          <w:szCs w:val="32"/>
          <w:lang w:val="en-US" w:eastAsia="zh-CN"/>
        </w:rPr>
        <w:t>00.5元，</w:t>
      </w:r>
      <w:r>
        <w:rPr>
          <w:rFonts w:hint="eastAsia" w:ascii="仿宋_GB2312" w:hAnsi="Times New Roman" w:eastAsia="仿宋_GB2312" w:cs="Times New Roman"/>
          <w:color w:val="000000"/>
          <w:sz w:val="32"/>
          <w:szCs w:val="32"/>
          <w:lang w:eastAsia="zh-CN"/>
        </w:rPr>
        <w:t>重庆市检察系统来邻办案、</w:t>
      </w:r>
      <w:r>
        <w:rPr>
          <w:rFonts w:hint="eastAsia" w:ascii="仿宋_GB2312" w:hAnsi="Times New Roman" w:eastAsia="仿宋_GB2312" w:cs="Times New Roman"/>
          <w:color w:val="000000"/>
          <w:sz w:val="32"/>
          <w:szCs w:val="32"/>
          <w:lang w:val="en-US" w:eastAsia="zh-CN"/>
        </w:rPr>
        <w:t>1批次5人</w:t>
      </w:r>
      <w:r>
        <w:rPr>
          <w:rFonts w:hint="eastAsia" w:ascii="仿宋_GB2312" w:hAnsi="Times New Roman" w:eastAsia="仿宋_GB2312" w:cs="Times New Roman"/>
          <w:color w:val="000000"/>
          <w:sz w:val="32"/>
          <w:szCs w:val="32"/>
        </w:rPr>
        <w:t>（不包括陪同人员）</w:t>
      </w:r>
      <w:r>
        <w:rPr>
          <w:rFonts w:hint="eastAsia" w:ascii="仿宋_GB2312" w:hAnsi="Times New Roman" w:eastAsia="仿宋_GB2312" w:cs="Times New Roman"/>
          <w:color w:val="000000"/>
          <w:sz w:val="32"/>
          <w:szCs w:val="32"/>
          <w:lang w:eastAsia="zh-CN"/>
        </w:rPr>
        <w:t>，支出</w:t>
      </w:r>
      <w:r>
        <w:rPr>
          <w:rFonts w:hint="eastAsia" w:ascii="仿宋_GB2312" w:hAnsi="Times New Roman" w:eastAsia="仿宋_GB2312" w:cs="Times New Roman"/>
          <w:color w:val="000000"/>
          <w:sz w:val="32"/>
          <w:szCs w:val="32"/>
          <w:lang w:val="en-US" w:eastAsia="zh-CN"/>
        </w:rPr>
        <w:t>294元。</w:t>
      </w:r>
    </w:p>
    <w:p>
      <w:pPr>
        <w:spacing w:line="600" w:lineRule="exact"/>
        <w:ind w:firstLine="640"/>
        <w:rPr>
          <w:rFonts w:hint="default" w:ascii="仿宋_GB2312" w:hAnsi="Times New Roman" w:eastAsia="仿宋_GB2312"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2021年无</w:t>
      </w:r>
      <w:r>
        <w:rPr>
          <w:rFonts w:hint="eastAsia" w:ascii="仿宋_GB2312" w:hAnsi="Times New Roman" w:eastAsia="仿宋_GB2312" w:cs="Times New Roman"/>
          <w:b/>
          <w:bCs/>
          <w:color w:val="000000"/>
          <w:sz w:val="32"/>
          <w:szCs w:val="32"/>
        </w:rPr>
        <w:t>外事接待</w:t>
      </w:r>
      <w:r>
        <w:rPr>
          <w:rFonts w:hint="eastAsia" w:ascii="仿宋_GB2312" w:hAnsi="Times New Roman" w:eastAsia="仿宋_GB2312" w:cs="Times New Roman"/>
          <w:b/>
          <w:bCs/>
          <w:color w:val="000000"/>
          <w:sz w:val="32"/>
          <w:szCs w:val="32"/>
          <w:lang w:eastAsia="zh-CN"/>
        </w:rPr>
        <w:t>支出</w:t>
      </w:r>
      <w:r>
        <w:rPr>
          <w:rFonts w:hint="eastAsia" w:ascii="仿宋_GB2312" w:hAnsi="Times New Roman" w:eastAsia="仿宋_GB2312" w:cs="Times New Roman"/>
          <w:b/>
          <w:bCs/>
          <w:color w:val="000000"/>
          <w:sz w:val="32"/>
          <w:szCs w:val="32"/>
        </w:rPr>
        <w:t>。</w:t>
      </w:r>
    </w:p>
    <w:p>
      <w:pPr>
        <w:spacing w:line="600" w:lineRule="exact"/>
        <w:ind w:firstLine="320" w:firstLineChars="100"/>
        <w:outlineLvl w:val="1"/>
        <w:rPr>
          <w:rStyle w:val="27"/>
          <w:rFonts w:ascii="黑体" w:hAnsi="黑体" w:eastAsia="黑体"/>
          <w:color w:val="auto"/>
          <w:highlight w:val="none"/>
        </w:rPr>
      </w:pPr>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w:t>
      </w:r>
      <w:r>
        <w:rPr>
          <w:rStyle w:val="27"/>
          <w:rFonts w:hint="eastAsia" w:ascii="黑体" w:hAnsi="黑体" w:eastAsia="黑体"/>
          <w:b w:val="0"/>
          <w:color w:val="auto"/>
          <w:highlight w:val="none"/>
        </w:rPr>
        <w:t>政府性基金预算支出决算情况说明</w:t>
      </w:r>
      <w:bookmarkEnd w:id="47"/>
      <w:bookmarkEnd w:id="4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政府性基金预算支出。</w:t>
      </w:r>
    </w:p>
    <w:p>
      <w:pPr>
        <w:numPr>
          <w:ilvl w:val="0"/>
          <w:numId w:val="0"/>
        </w:numPr>
        <w:spacing w:line="600" w:lineRule="exact"/>
        <w:ind w:firstLine="640" w:firstLineChars="200"/>
        <w:outlineLvl w:val="1"/>
        <w:rPr>
          <w:rStyle w:val="27"/>
          <w:rFonts w:ascii="黑体" w:hAnsi="黑体" w:eastAsia="黑体"/>
          <w:b w:val="0"/>
          <w:color w:val="auto"/>
          <w:highlight w:val="none"/>
        </w:rPr>
      </w:pPr>
      <w:bookmarkStart w:id="49" w:name="_Toc15377219"/>
      <w:bookmarkStart w:id="50" w:name="_Toc15396611"/>
      <w:r>
        <w:rPr>
          <w:rStyle w:val="27"/>
          <w:rFonts w:hint="eastAsia" w:ascii="黑体" w:hAnsi="黑体" w:eastAsia="黑体"/>
          <w:b w:val="0"/>
          <w:color w:val="auto"/>
          <w:highlight w:val="none"/>
          <w:lang w:eastAsia="zh-CN"/>
        </w:rPr>
        <w:t>十、</w:t>
      </w:r>
      <w:r>
        <w:rPr>
          <w:rStyle w:val="27"/>
          <w:rFonts w:hint="eastAsia" w:ascii="黑体" w:hAnsi="黑体" w:eastAsia="黑体"/>
          <w:b w:val="0"/>
          <w:color w:val="auto"/>
          <w:highlight w:val="none"/>
        </w:rPr>
        <w:t>国有资本经营预算支出决算情况说明</w:t>
      </w:r>
      <w:bookmarkEnd w:id="49"/>
      <w:bookmarkEnd w:id="50"/>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国有资本经营预算支出。</w:t>
      </w:r>
    </w:p>
    <w:p>
      <w:pPr>
        <w:numPr>
          <w:ilvl w:val="0"/>
          <w:numId w:val="0"/>
        </w:numPr>
        <w:spacing w:line="600" w:lineRule="exact"/>
        <w:ind w:firstLine="320" w:firstLineChars="100"/>
        <w:outlineLvl w:val="1"/>
        <w:rPr>
          <w:rStyle w:val="27"/>
          <w:rFonts w:hint="eastAsia" w:ascii="黑体" w:hAnsi="黑体" w:eastAsia="黑体"/>
          <w:b w:val="0"/>
          <w:color w:val="auto"/>
          <w:highlight w:val="none"/>
        </w:rPr>
      </w:pPr>
      <w:bookmarkStart w:id="51" w:name="_Toc15396612"/>
      <w:bookmarkStart w:id="52" w:name="_Toc15377221"/>
      <w:r>
        <w:rPr>
          <w:rStyle w:val="27"/>
          <w:rFonts w:hint="eastAsia" w:ascii="黑体" w:hAnsi="黑体" w:eastAsia="黑体"/>
          <w:b w:val="0"/>
          <w:color w:val="auto"/>
          <w:highlight w:val="none"/>
          <w:lang w:eastAsia="zh-CN"/>
        </w:rPr>
        <w:t>十一、</w:t>
      </w:r>
      <w:r>
        <w:rPr>
          <w:rStyle w:val="27"/>
          <w:rFonts w:hint="eastAsia" w:ascii="黑体" w:hAnsi="黑体" w:eastAsia="黑体"/>
          <w:b w:val="0"/>
          <w:color w:val="auto"/>
          <w:highlight w:val="none"/>
        </w:rPr>
        <w:t>其他重要事项的情况说明</w:t>
      </w:r>
      <w:bookmarkEnd w:id="51"/>
      <w:bookmarkEnd w:id="52"/>
    </w:p>
    <w:p>
      <w:pPr>
        <w:spacing w:line="600" w:lineRule="exact"/>
        <w:ind w:firstLine="643" w:firstLineChars="200"/>
        <w:outlineLvl w:val="2"/>
        <w:rPr>
          <w:rFonts w:ascii="仿宋" w:hAnsi="仿宋" w:eastAsia="仿宋"/>
          <w:color w:val="auto"/>
          <w:sz w:val="32"/>
          <w:szCs w:val="32"/>
          <w:highlight w:val="none"/>
        </w:rPr>
      </w:pPr>
      <w:bookmarkStart w:id="53" w:name="_Toc15377222"/>
      <w:r>
        <w:rPr>
          <w:rFonts w:hint="eastAsia" w:ascii="仿宋" w:hAnsi="仿宋" w:eastAsia="仿宋"/>
          <w:b/>
          <w:color w:val="auto"/>
          <w:sz w:val="32"/>
          <w:szCs w:val="32"/>
          <w:highlight w:val="none"/>
        </w:rPr>
        <w:t>（一）机关运行经费支出情况</w:t>
      </w:r>
      <w:bookmarkEnd w:id="53"/>
    </w:p>
    <w:p>
      <w:pPr>
        <w:spacing w:line="6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eastAsia="zh-CN"/>
          <w14:textFill>
            <w14:solidFill>
              <w14:schemeClr w14:val="tx1"/>
            </w14:solidFill>
          </w14:textFill>
        </w:rPr>
        <w:t>邻水县人民检察院</w:t>
      </w:r>
      <w:r>
        <w:rPr>
          <w:rFonts w:hint="eastAsia" w:ascii="仿宋_GB2312" w:eastAsia="仿宋_GB2312"/>
          <w:color w:val="000000" w:themeColor="text1"/>
          <w:sz w:val="32"/>
          <w:szCs w:val="32"/>
          <w:highlight w:val="none"/>
          <w14:textFill>
            <w14:solidFill>
              <w14:schemeClr w14:val="tx1"/>
            </w14:solidFill>
          </w14:textFill>
        </w:rPr>
        <w:t>机关运行经费支出</w:t>
      </w:r>
      <w:r>
        <w:rPr>
          <w:rFonts w:hint="eastAsia" w:ascii="仿宋_GB2312" w:eastAsia="仿宋_GB2312"/>
          <w:color w:val="000000" w:themeColor="text1"/>
          <w:sz w:val="32"/>
          <w:szCs w:val="32"/>
          <w:highlight w:val="none"/>
          <w:lang w:val="en-US" w:eastAsia="zh-CN"/>
          <w14:textFill>
            <w14:solidFill>
              <w14:schemeClr w14:val="tx1"/>
            </w14:solidFill>
          </w14:textFill>
        </w:rPr>
        <w:t>213.59</w:t>
      </w:r>
      <w:r>
        <w:rPr>
          <w:rFonts w:hint="eastAsia" w:ascii="仿宋_GB2312" w:eastAsia="仿宋_GB2312"/>
          <w:color w:val="000000" w:themeColor="text1"/>
          <w:sz w:val="32"/>
          <w:szCs w:val="32"/>
          <w:highlight w:val="none"/>
          <w14:textFill>
            <w14:solidFill>
              <w14:schemeClr w14:val="tx1"/>
            </w14:solidFill>
          </w14:textFill>
        </w:rPr>
        <w:t>万元，比</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年增加</w:t>
      </w:r>
      <w:r>
        <w:rPr>
          <w:rFonts w:hint="eastAsia" w:ascii="仿宋_GB2312" w:eastAsia="仿宋_GB2312"/>
          <w:color w:val="000000" w:themeColor="text1"/>
          <w:sz w:val="32"/>
          <w:szCs w:val="32"/>
          <w:highlight w:val="none"/>
          <w:lang w:val="en-US" w:eastAsia="zh-CN"/>
          <w14:textFill>
            <w14:solidFill>
              <w14:schemeClr w14:val="tx1"/>
            </w14:solidFill>
          </w14:textFill>
        </w:rPr>
        <w:t>106.29</w:t>
      </w:r>
      <w:r>
        <w:rPr>
          <w:rFonts w:hint="eastAsia" w:ascii="仿宋_GB2312" w:eastAsia="仿宋_GB2312"/>
          <w:color w:val="000000" w:themeColor="text1"/>
          <w:sz w:val="32"/>
          <w:szCs w:val="32"/>
          <w:highlight w:val="none"/>
          <w14:textFill>
            <w14:solidFill>
              <w14:schemeClr w14:val="tx1"/>
            </w14:solidFill>
          </w14:textFill>
        </w:rPr>
        <w:t>万元，增长</w:t>
      </w:r>
      <w:r>
        <w:rPr>
          <w:rFonts w:hint="eastAsia" w:ascii="仿宋_GB2312" w:eastAsia="仿宋_GB2312"/>
          <w:color w:val="000000" w:themeColor="text1"/>
          <w:sz w:val="32"/>
          <w:szCs w:val="32"/>
          <w:highlight w:val="none"/>
          <w:lang w:val="en-US" w:eastAsia="zh-CN"/>
          <w14:textFill>
            <w14:solidFill>
              <w14:schemeClr w14:val="tx1"/>
            </w14:solidFill>
          </w14:textFill>
        </w:rPr>
        <w:t>99.06</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一是还原向县财政借款</w:t>
      </w:r>
      <w:r>
        <w:rPr>
          <w:rFonts w:hint="eastAsia" w:ascii="仿宋" w:hAnsi="仿宋" w:eastAsia="仿宋"/>
          <w:color w:val="000000" w:themeColor="text1"/>
          <w:sz w:val="32"/>
          <w:szCs w:val="32"/>
          <w:highlight w:val="none"/>
          <w:lang w:val="en-US" w:eastAsia="zh-CN"/>
          <w14:textFill>
            <w14:solidFill>
              <w14:schemeClr w14:val="tx1"/>
            </w14:solidFill>
          </w14:textFill>
        </w:rPr>
        <w:t>70.5万，二是增加档案数字化建设支出65.9万元。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3"/>
      <w:r>
        <w:rPr>
          <w:rFonts w:hint="eastAsia" w:ascii="仿宋" w:hAnsi="仿宋" w:eastAsia="仿宋"/>
          <w:b/>
          <w:color w:val="auto"/>
          <w:sz w:val="32"/>
          <w:szCs w:val="32"/>
          <w:highlight w:val="none"/>
        </w:rPr>
        <w:t>（二）政府采购支出情况</w:t>
      </w:r>
      <w:bookmarkEnd w:id="54"/>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政府采购支出</w:t>
      </w:r>
      <w:r>
        <w:rPr>
          <w:rFonts w:hint="eastAsia" w:ascii="仿宋_GB2312" w:eastAsia="仿宋_GB2312"/>
          <w:color w:val="auto"/>
          <w:sz w:val="32"/>
          <w:szCs w:val="32"/>
          <w:highlight w:val="none"/>
          <w:lang w:eastAsia="zh-CN"/>
        </w:rPr>
        <w:t>，主要原因是：</w:t>
      </w:r>
      <w:r>
        <w:rPr>
          <w:rFonts w:hint="eastAsia" w:ascii="仿宋_GB2312" w:eastAsia="仿宋_GB2312"/>
          <w:color w:val="auto"/>
          <w:sz w:val="32"/>
          <w:szCs w:val="32"/>
          <w:highlight w:val="none"/>
          <w:lang w:val="en-US" w:eastAsia="zh-CN"/>
        </w:rPr>
        <w:t>2021年我院立项的听证室建设项目经三次询价采购均废标，无政府采购支出</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5" w:name="_Toc15377224"/>
      <w:r>
        <w:rPr>
          <w:rFonts w:hint="eastAsia" w:ascii="仿宋" w:hAnsi="仿宋" w:eastAsia="仿宋"/>
          <w:b/>
          <w:color w:val="auto"/>
          <w:sz w:val="32"/>
          <w:szCs w:val="32"/>
          <w:highlight w:val="none"/>
        </w:rPr>
        <w:t>（三）国有资产占有使用情况</w:t>
      </w:r>
      <w:bookmarkEnd w:id="55"/>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邻水县人民检察院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7辆，特种专业技术用车1辆，单</w:t>
      </w:r>
      <w:r>
        <w:rPr>
          <w:rFonts w:hint="eastAsia" w:ascii="仿宋_GB2312" w:eastAsia="仿宋_GB2312"/>
          <w:color w:val="auto"/>
          <w:sz w:val="32"/>
          <w:szCs w:val="32"/>
          <w:highlight w:val="none"/>
        </w:rPr>
        <w:t>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default" w:ascii="仿宋_GB2312" w:hAnsi="Times New Roman" w:eastAsia="仿宋_GB2312" w:cs="仿宋_GB2312"/>
          <w:i w:val="0"/>
          <w:iCs w:val="0"/>
          <w:caps w:val="0"/>
          <w:color w:val="000000"/>
          <w:spacing w:val="0"/>
          <w:sz w:val="33"/>
          <w:szCs w:val="33"/>
          <w:shd w:val="clear" w:color="auto" w:fill="FFFFFF"/>
          <w:lang w:eastAsia="zh-CN"/>
        </w:rPr>
        <w:t>办案经费、业务装备购置</w:t>
      </w:r>
      <w:r>
        <w:rPr>
          <w:rFonts w:hint="eastAsia" w:ascii="仿宋_GB2312" w:hAnsi="Times New Roman" w:eastAsia="仿宋_GB2312" w:cs="仿宋_GB2312"/>
          <w:i w:val="0"/>
          <w:iCs w:val="0"/>
          <w:caps w:val="0"/>
          <w:color w:val="000000"/>
          <w:spacing w:val="0"/>
          <w:sz w:val="33"/>
          <w:szCs w:val="33"/>
          <w:shd w:val="clear" w:color="auto" w:fill="FFFFFF"/>
          <w:lang w:eastAsia="zh-CN"/>
        </w:rPr>
        <w:t>、</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2020年司法改革绩效</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eastAsia="zh-CN"/>
        </w:rPr>
        <w:t>上述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eastAsia="zh-CN"/>
        </w:rPr>
        <w:t>上述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eastAsia="zh-CN"/>
        </w:rPr>
        <w:t>上述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（详见第四部分</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lang w:val="zh-CN" w:eastAsia="zh-CN"/>
        </w:rPr>
        <w:t>专项预算项目支出绩效自评报告）</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w:t>
      </w:r>
      <w:r>
        <w:rPr>
          <w:rFonts w:hint="eastAsia" w:ascii="仿宋_GB2312" w:hAnsi="仿宋_GB2312" w:eastAsia="仿宋_GB2312" w:cs="仿宋_GB2312"/>
          <w:color w:val="auto"/>
          <w:sz w:val="32"/>
          <w:szCs w:val="32"/>
          <w:highlight w:val="none"/>
          <w:lang w:eastAsia="zh-CN"/>
        </w:rPr>
        <w:t>详见</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邻水县人民检察院</w:t>
      </w:r>
      <w:r>
        <w:rPr>
          <w:rFonts w:hint="eastAsia" w:ascii="仿宋_GB2312" w:hAnsi="仿宋_GB2312" w:eastAsia="仿宋_GB2312" w:cs="仿宋_GB2312"/>
          <w:color w:val="auto"/>
          <w:sz w:val="32"/>
          <w:szCs w:val="32"/>
          <w:highlight w:val="none"/>
        </w:rPr>
        <w:t>整体</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spacing w:line="580" w:lineRule="exact"/>
        <w:ind w:firstLine="640" w:firstLineChars="200"/>
        <w:rPr>
          <w:rFonts w:hint="eastAsia" w:ascii="楷体_GB2312" w:hAnsi="楷体_GB2312" w:eastAsia="楷体_GB2312" w:cs="楷体_GB2312"/>
          <w:sz w:val="32"/>
          <w:szCs w:val="32"/>
          <w:lang w:eastAsia="zh-CN"/>
        </w:rPr>
      </w:pPr>
      <w:r>
        <w:rPr>
          <w:rFonts w:hint="eastAsia" w:hAnsi="仿宋_GB2312" w:cs="仿宋_GB2312"/>
          <w:color w:val="auto"/>
          <w:sz w:val="32"/>
          <w:szCs w:val="32"/>
          <w:highlight w:val="none"/>
          <w:lang w:val="en-US" w:eastAsia="zh-CN"/>
        </w:rPr>
        <w:t xml:space="preserve">  </w:t>
      </w:r>
      <w:r>
        <w:rPr>
          <w:rFonts w:hint="eastAsia" w:ascii="楷体_GB2312" w:hAnsi="楷体_GB2312" w:eastAsia="楷体_GB2312" w:cs="楷体_GB2312"/>
          <w:b/>
          <w:bCs/>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w:t>
      </w:r>
      <w:r>
        <w:rPr>
          <w:rFonts w:hint="default" w:ascii="仿宋_GB2312" w:hAnsi="Times New Roman" w:eastAsia="仿宋_GB2312" w:cs="仿宋_GB2312"/>
          <w:i w:val="0"/>
          <w:iCs w:val="0"/>
          <w:caps w:val="0"/>
          <w:color w:val="000000"/>
          <w:spacing w:val="0"/>
          <w:sz w:val="33"/>
          <w:szCs w:val="33"/>
          <w:shd w:val="clear" w:color="auto" w:fill="FFFFFF"/>
          <w:lang w:eastAsia="zh-CN"/>
        </w:rPr>
        <w:t>办案经费、业务装备购置</w:t>
      </w:r>
      <w:r>
        <w:rPr>
          <w:rFonts w:hint="eastAsia" w:ascii="仿宋_GB2312" w:hAnsi="Times New Roman" w:eastAsia="仿宋_GB2312" w:cs="仿宋_GB2312"/>
          <w:i w:val="0"/>
          <w:iCs w:val="0"/>
          <w:caps w:val="0"/>
          <w:color w:val="000000"/>
          <w:spacing w:val="0"/>
          <w:sz w:val="33"/>
          <w:szCs w:val="33"/>
          <w:shd w:val="clear" w:color="auto" w:fill="FFFFFF"/>
          <w:lang w:eastAsia="zh-CN"/>
        </w:rPr>
        <w:t>、</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2020年司法改革绩效</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sz w:val="32"/>
          <w:szCs w:val="32"/>
        </w:rPr>
        <w:t>绩效目标实际完成情况。</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default" w:ascii="仿宋_GB2312" w:hAnsi="Times New Roman" w:eastAsia="仿宋_GB2312" w:cs="仿宋_GB2312"/>
          <w:i w:val="0"/>
          <w:iCs w:val="0"/>
          <w:caps w:val="0"/>
          <w:color w:val="000000"/>
          <w:spacing w:val="0"/>
          <w:sz w:val="33"/>
          <w:szCs w:val="33"/>
          <w:shd w:val="clear" w:color="auto" w:fill="FFFFFF"/>
          <w:lang w:eastAsia="zh-CN"/>
        </w:rPr>
        <w:t>办案经费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443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369.76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83.51</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全年办理各</w:t>
      </w:r>
      <w:r>
        <w:rPr>
          <w:rFonts w:hint="eastAsia" w:ascii="仿宋_GB2312" w:hAnsi="Times New Roman" w:eastAsia="仿宋_GB2312" w:cs="仿宋_GB2312"/>
          <w:i w:val="0"/>
          <w:iCs w:val="0"/>
          <w:caps w:val="0"/>
          <w:color w:val="000000"/>
          <w:spacing w:val="0"/>
          <w:sz w:val="33"/>
          <w:szCs w:val="33"/>
          <w:shd w:val="clear" w:color="auto" w:fill="FFFFFF"/>
          <w:lang w:eastAsia="zh-CN"/>
        </w:rPr>
        <w:t>种业务案件</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1572件</w:t>
      </w:r>
      <w:r>
        <w:rPr>
          <w:rFonts w:hint="eastAsia" w:ascii="仿宋_GB2312" w:hAnsi="Times New Roman" w:eastAsia="仿宋_GB2312" w:cs="仿宋_GB2312"/>
          <w:i w:val="0"/>
          <w:iCs w:val="0"/>
          <w:caps w:val="0"/>
          <w:color w:val="000000"/>
          <w:spacing w:val="0"/>
          <w:sz w:val="33"/>
          <w:szCs w:val="33"/>
          <w:shd w:val="clear" w:color="auto" w:fill="FFFFFF"/>
          <w:lang w:eastAsia="zh-CN"/>
        </w:rPr>
        <w:t>，</w:t>
      </w:r>
      <w:r>
        <w:rPr>
          <w:rFonts w:hint="eastAsia" w:ascii="仿宋" w:hAnsi="仿宋" w:eastAsia="仿宋" w:cs="仿宋"/>
          <w:b w:val="0"/>
          <w:bCs/>
          <w:sz w:val="33"/>
          <w:szCs w:val="33"/>
          <w:lang w:val="zh-CN"/>
        </w:rPr>
        <w:t>完成省级以上主流媒体新闻刊</w:t>
      </w:r>
      <w:r>
        <w:rPr>
          <w:rFonts w:hint="eastAsia" w:ascii="仿宋" w:hAnsi="仿宋" w:eastAsia="仿宋" w:cs="仿宋"/>
          <w:sz w:val="32"/>
          <w:szCs w:val="32"/>
          <w:lang w:val="zh-CN"/>
        </w:rPr>
        <w:t>（播）</w:t>
      </w:r>
      <w:r>
        <w:rPr>
          <w:rFonts w:hint="eastAsia" w:ascii="仿宋" w:hAnsi="仿宋" w:eastAsia="仿宋" w:cs="仿宋"/>
          <w:b w:val="0"/>
          <w:bCs/>
          <w:sz w:val="33"/>
          <w:szCs w:val="33"/>
          <w:lang w:val="zh-CN"/>
        </w:rPr>
        <w:t>40篇，中央媒体刊（播）上稿量10篇</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w:t>
      </w:r>
      <w:r>
        <w:rPr>
          <w:rFonts w:hint="eastAsia" w:ascii="仿宋" w:hAnsi="仿宋" w:eastAsia="仿宋" w:cs="仿宋"/>
          <w:sz w:val="32"/>
          <w:szCs w:val="32"/>
          <w:lang w:val="zh-CN"/>
        </w:rPr>
        <w:t>项目社会效益明细，通过强化刑事、民事、公益诉讼监督，维护邻水良好的法治环境、生态环境、政治生态</w:t>
      </w:r>
      <w:r>
        <w:rPr>
          <w:rFonts w:hint="eastAsia" w:ascii="仿宋" w:hAnsi="仿宋" w:eastAsia="仿宋" w:cs="Times New Roman"/>
          <w:sz w:val="32"/>
          <w:szCs w:val="32"/>
          <w:shd w:val="clear" w:color="auto" w:fill="FFFFFF"/>
          <w:lang w:eastAsia="zh-CN"/>
        </w:rPr>
        <w:t>，维护公平正义，提升执法司法公信力</w:t>
      </w:r>
      <w:r>
        <w:rPr>
          <w:rFonts w:hint="eastAsia" w:eastAsia="方正仿宋_GBK"/>
          <w:sz w:val="33"/>
          <w:szCs w:val="33"/>
          <w:lang w:val="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default" w:ascii="仿宋_GB2312" w:hAnsi="Times New Roman" w:eastAsia="仿宋_GB2312" w:cs="仿宋_GB2312"/>
          <w:i w:val="0"/>
          <w:iCs w:val="0"/>
          <w:caps w:val="0"/>
          <w:color w:val="000000"/>
          <w:spacing w:val="0"/>
          <w:sz w:val="33"/>
          <w:szCs w:val="33"/>
          <w:shd w:val="clear" w:color="auto" w:fill="FFFFFF"/>
          <w:lang w:eastAsia="zh-CN"/>
        </w:rPr>
        <w:t>业务装备购置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81.91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63.99</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有力地</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了检察办案工作的高效开展</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i w:val="0"/>
          <w:iCs w:val="0"/>
          <w:caps w:val="0"/>
          <w:color w:val="000000"/>
          <w:spacing w:val="0"/>
          <w:sz w:val="33"/>
          <w:szCs w:val="33"/>
          <w:shd w:val="clear" w:color="auto" w:fill="FFFFFF"/>
          <w:lang w:val="en-US" w:eastAsia="zh-CN"/>
        </w:rPr>
        <w:t>2020年司法改革绩效</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114.79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114.79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s="仿宋"/>
          <w:sz w:val="32"/>
          <w:szCs w:val="32"/>
          <w:lang w:val="zh-CN"/>
        </w:rPr>
        <w:t>深入推进了司法责任制改革，充分发挥了奖金的激励作用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pStyle w:val="2"/>
        <w:rPr>
          <w:rFonts w:hint="default" w:eastAsia="仿宋_GB2312"/>
          <w:lang w:val="en-US" w:eastAsia="zh-CN"/>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19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办案经费项目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邻水县人民检察院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highlight w:val="none"/>
                <w:u w:val="none"/>
                <w:lang w:val="en-US" w:eastAsia="zh-CN"/>
              </w:rPr>
              <w:t>443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369.76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highlight w:val="none"/>
                <w:u w:val="none"/>
                <w:lang w:val="en-US" w:eastAsia="zh-CN"/>
              </w:rPr>
              <w:t>443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369.76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办理各类案件1200件左右，完成省检察院正规化培训调训任务，参训率达80%，完成省级以上主流媒体新闻刊（播）采用数量25篇，其中中央级媒体刊（播）上稿1篇，认罪认罚刑事案件提出确定量刑建议率不低于70%、量刑建议采纳率不低于80%、上诉率不高于4%，刑事附带民事公益诉讼案件数达3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420" w:leftChars="0" w:firstLineChars="0"/>
              <w:jc w:val="left"/>
              <w:textAlignment w:val="top"/>
              <w:rPr>
                <w:rFonts w:hint="eastAsia" w:ascii="宋体" w:hAnsi="宋体" w:eastAsia="宋体" w:cs="宋体"/>
                <w:sz w:val="24"/>
                <w:szCs w:val="24"/>
                <w:lang w:val="zh-CN"/>
              </w:rPr>
            </w:pPr>
            <w:r>
              <w:rPr>
                <w:rFonts w:hint="eastAsia" w:ascii="宋体" w:hAnsi="宋体" w:eastAsia="宋体" w:cs="宋体"/>
                <w:sz w:val="24"/>
                <w:szCs w:val="24"/>
                <w:lang w:val="zh-CN"/>
              </w:rPr>
              <w:t>办理各类案件1572件</w:t>
            </w:r>
          </w:p>
          <w:p>
            <w:pPr>
              <w:pStyle w:val="8"/>
              <w:numPr>
                <w:ilvl w:val="0"/>
                <w:numId w:val="4"/>
              </w:numPr>
              <w:ind w:left="420" w:leftChars="0" w:firstLineChars="0"/>
              <w:rPr>
                <w:rFonts w:hint="eastAsia" w:ascii="宋体" w:hAnsi="宋体" w:eastAsia="宋体" w:cs="宋体"/>
                <w:b w:val="0"/>
                <w:bCs/>
                <w:sz w:val="24"/>
                <w:szCs w:val="24"/>
                <w:lang w:val="zh-CN"/>
              </w:rPr>
            </w:pPr>
            <w:r>
              <w:rPr>
                <w:rFonts w:hint="eastAsia" w:ascii="宋体" w:hAnsi="宋体" w:eastAsia="宋体" w:cs="宋体"/>
                <w:sz w:val="24"/>
                <w:szCs w:val="24"/>
                <w:lang w:val="zh-CN"/>
              </w:rPr>
              <w:t>完成省检察院正规化培训调训任务，实际参训率达</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0%</w:t>
            </w:r>
          </w:p>
          <w:p>
            <w:pPr>
              <w:pStyle w:val="8"/>
              <w:numPr>
                <w:ilvl w:val="0"/>
                <w:numId w:val="4"/>
              </w:numPr>
              <w:ind w:left="420" w:leftChars="0" w:firstLine="0" w:firstLineChars="0"/>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省级以上主流媒体新闻刊40篇，中央媒体刊（播）上稿量10篇</w:t>
            </w:r>
          </w:p>
          <w:p>
            <w:pPr>
              <w:pStyle w:val="8"/>
              <w:numPr>
                <w:ilvl w:val="0"/>
                <w:numId w:val="4"/>
              </w:numPr>
              <w:ind w:left="420" w:leftChars="0" w:firstLine="0" w:firstLineChars="0"/>
              <w:rPr>
                <w:rFonts w:hint="eastAsia" w:ascii="宋体" w:hAnsi="宋体" w:eastAsia="宋体" w:cs="宋体"/>
                <w:b w:val="0"/>
                <w:bCs/>
                <w:sz w:val="24"/>
                <w:szCs w:val="24"/>
                <w:lang w:val="zh-CN"/>
              </w:rPr>
            </w:pPr>
            <w:r>
              <w:rPr>
                <w:rFonts w:hint="eastAsia" w:ascii="宋体" w:hAnsi="宋体" w:eastAsia="宋体" w:cs="宋体"/>
                <w:sz w:val="24"/>
                <w:szCs w:val="24"/>
                <w:lang w:val="zh-CN"/>
              </w:rPr>
              <w:t>批捕案件法定期限内审结率</w:t>
            </w:r>
            <w:r>
              <w:rPr>
                <w:rFonts w:hint="eastAsia" w:ascii="宋体" w:hAnsi="宋体" w:eastAsia="宋体" w:cs="宋体"/>
                <w:sz w:val="24"/>
                <w:szCs w:val="24"/>
                <w:lang w:val="en-US" w:eastAsia="zh-CN"/>
              </w:rPr>
              <w:t>100%</w:t>
            </w:r>
          </w:p>
          <w:p>
            <w:pPr>
              <w:numPr>
                <w:ilvl w:val="0"/>
                <w:numId w:val="4"/>
              </w:numPr>
              <w:ind w:left="42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认罪认罚刑事案件提出确定量刑建议率为</w:t>
            </w:r>
            <w:r>
              <w:rPr>
                <w:rFonts w:hint="eastAsia" w:ascii="宋体" w:hAnsi="宋体" w:eastAsia="宋体" w:cs="宋体"/>
                <w:sz w:val="24"/>
                <w:szCs w:val="24"/>
                <w:lang w:val="en-US" w:eastAsia="zh-CN"/>
              </w:rPr>
              <w:t>96.3%</w:t>
            </w:r>
          </w:p>
          <w:p>
            <w:pPr>
              <w:pStyle w:val="8"/>
              <w:numPr>
                <w:ilvl w:val="0"/>
                <w:numId w:val="4"/>
              </w:numPr>
              <w:ind w:left="42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量刑建议采纳率93.5%，量刑建议1.6%</w:t>
            </w:r>
          </w:p>
          <w:p>
            <w:pPr>
              <w:numPr>
                <w:ilvl w:val="0"/>
                <w:numId w:val="4"/>
              </w:numPr>
              <w:ind w:left="420" w:leftChars="0" w:firstLine="0" w:firstLineChars="0"/>
              <w:rPr>
                <w:rFonts w:hint="eastAsia" w:ascii="宋体" w:hAnsi="宋体" w:eastAsia="宋体" w:cs="宋体"/>
                <w:sz w:val="24"/>
                <w:szCs w:val="24"/>
                <w:lang w:val="en-US"/>
              </w:rPr>
            </w:pPr>
            <w:r>
              <w:rPr>
                <w:rFonts w:hint="eastAsia" w:ascii="宋体" w:hAnsi="宋体" w:eastAsia="宋体" w:cs="宋体"/>
                <w:sz w:val="24"/>
                <w:szCs w:val="24"/>
                <w:lang w:val="zh-CN"/>
              </w:rPr>
              <w:t>刑事附带民事公益诉讼案件数完成3件</w:t>
            </w:r>
          </w:p>
          <w:p>
            <w:pP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办理各种业务案件总数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1572件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批捕案件法定期限内审结率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案件办理期限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无超期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无超期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办案经费支出总额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450</w:t>
            </w:r>
            <w:r>
              <w:rPr>
                <w:rFonts w:hint="eastAsia" w:ascii="宋体" w:hAnsi="宋体" w:eastAsia="宋体" w:cs="宋体"/>
                <w:i w:val="0"/>
                <w:color w:val="auto"/>
                <w:sz w:val="24"/>
                <w:szCs w:val="24"/>
                <w:highlight w:val="none"/>
                <w:u w:val="none"/>
              </w:rPr>
              <w:t>万元内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369.76万元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提高办案工作质量与效率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促进司法工作，维护公平正义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目标完成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92%</w:t>
            </w:r>
          </w:p>
        </w:tc>
      </w:tr>
    </w:tbl>
    <w:p>
      <w:pPr>
        <w:ind w:firstLine="640" w:firstLineChars="200"/>
        <w:rPr>
          <w:rFonts w:hint="eastAsia" w:ascii="仿宋" w:hAnsi="仿宋" w:eastAsia="仿宋" w:cs="仿宋"/>
          <w:sz w:val="32"/>
          <w:szCs w:val="32"/>
          <w:lang w:val="en-US" w:eastAsia="zh-CN"/>
        </w:rPr>
      </w:pPr>
    </w:p>
    <w:tbl>
      <w:tblPr>
        <w:tblStyle w:val="13"/>
        <w:tblpPr w:leftFromText="180" w:rightFromText="180" w:vertAnchor="text" w:horzAnchor="page" w:tblpXSpec="center" w:tblpY="423"/>
        <w:tblOverlap w:val="never"/>
        <w:tblW w:w="12370" w:type="dxa"/>
        <w:jc w:val="center"/>
        <w:tblLayout w:type="fixed"/>
        <w:tblCellMar>
          <w:top w:w="0" w:type="dxa"/>
          <w:left w:w="0" w:type="dxa"/>
          <w:bottom w:w="0" w:type="dxa"/>
          <w:right w:w="0" w:type="dxa"/>
        </w:tblCellMar>
      </w:tblPr>
      <w:tblGrid>
        <w:gridCol w:w="670"/>
        <w:gridCol w:w="1087"/>
        <w:gridCol w:w="1025"/>
        <w:gridCol w:w="2392"/>
        <w:gridCol w:w="2394"/>
        <w:gridCol w:w="2392"/>
        <w:gridCol w:w="2410"/>
      </w:tblGrid>
      <w:tr>
        <w:tblPrEx>
          <w:tblCellMar>
            <w:top w:w="0" w:type="dxa"/>
            <w:left w:w="0" w:type="dxa"/>
            <w:bottom w:w="0" w:type="dxa"/>
            <w:right w:w="0" w:type="dxa"/>
          </w:tblCellMar>
        </w:tblPrEx>
        <w:trPr>
          <w:gridAfter w:val="1"/>
          <w:wAfter w:w="2410" w:type="dxa"/>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项目绩效目标完成情况表</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年度)</w:t>
            </w:r>
          </w:p>
        </w:tc>
      </w:tr>
      <w:tr>
        <w:tblPrEx>
          <w:tblCellMar>
            <w:top w:w="0" w:type="dxa"/>
            <w:left w:w="0" w:type="dxa"/>
            <w:bottom w:w="0" w:type="dxa"/>
            <w:right w:w="0" w:type="dxa"/>
          </w:tblCellMar>
        </w:tblPrEx>
        <w:trPr>
          <w:gridAfter w:val="1"/>
          <w:wAfter w:w="241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2020年度司法改革绩效项目</w:t>
            </w:r>
          </w:p>
        </w:tc>
      </w:tr>
      <w:tr>
        <w:tblPrEx>
          <w:tblCellMar>
            <w:top w:w="0" w:type="dxa"/>
            <w:left w:w="0" w:type="dxa"/>
            <w:bottom w:w="0" w:type="dxa"/>
            <w:right w:w="0" w:type="dxa"/>
          </w:tblCellMar>
        </w:tblPrEx>
        <w:trPr>
          <w:gridAfter w:val="1"/>
          <w:wAfter w:w="241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highlight w:val="none"/>
                <w:u w:val="none"/>
                <w:lang w:val="en-US" w:eastAsia="zh-CN"/>
              </w:rPr>
              <w:t>邻水县人民检察院</w:t>
            </w:r>
          </w:p>
        </w:tc>
      </w:tr>
      <w:tr>
        <w:tblPrEx>
          <w:tblCellMar>
            <w:top w:w="0" w:type="dxa"/>
            <w:left w:w="0" w:type="dxa"/>
            <w:bottom w:w="0" w:type="dxa"/>
            <w:right w:w="0" w:type="dxa"/>
          </w:tblCellMar>
        </w:tblPrEx>
        <w:trPr>
          <w:gridAfter w:val="1"/>
          <w:wAfter w:w="2410" w:type="dxa"/>
          <w:trHeight w:val="276" w:hRule="atLeast"/>
          <w:jc w:val="center"/>
        </w:trPr>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114.79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114.79</w:t>
            </w:r>
          </w:p>
        </w:tc>
      </w:tr>
      <w:tr>
        <w:tblPrEx>
          <w:tblCellMar>
            <w:top w:w="0" w:type="dxa"/>
            <w:left w:w="0" w:type="dxa"/>
            <w:bottom w:w="0" w:type="dxa"/>
            <w:right w:w="0" w:type="dxa"/>
          </w:tblCellMar>
        </w:tblPrEx>
        <w:trPr>
          <w:gridAfter w:val="1"/>
          <w:wAfter w:w="2410" w:type="dxa"/>
          <w:trHeight w:val="276"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114.79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114.79</w:t>
            </w:r>
          </w:p>
        </w:tc>
      </w:tr>
      <w:tr>
        <w:tblPrEx>
          <w:tblCellMar>
            <w:top w:w="0" w:type="dxa"/>
            <w:left w:w="0" w:type="dxa"/>
            <w:bottom w:w="0" w:type="dxa"/>
            <w:right w:w="0" w:type="dxa"/>
          </w:tblCellMar>
        </w:tblPrEx>
        <w:trPr>
          <w:gridAfter w:val="1"/>
          <w:wAfter w:w="2410" w:type="dxa"/>
          <w:trHeight w:val="1511"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2410" w:type="dxa"/>
          <w:trHeight w:val="276" w:hRule="atLeast"/>
          <w:jc w:val="center"/>
        </w:trPr>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5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gridAfter w:val="1"/>
          <w:wAfter w:w="2410" w:type="dxa"/>
          <w:trHeight w:val="1159"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5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为深入推进司法责任制改革，根据广安市委组织部广组通【2020】56号文件，对2020年司法绩效予以考核，支付绩效考核经费</w:t>
            </w:r>
            <w:r>
              <w:rPr>
                <w:rFonts w:hint="eastAsia" w:ascii="宋体" w:hAnsi="宋体" w:eastAsia="宋体" w:cs="宋体"/>
                <w:i w:val="0"/>
                <w:color w:val="auto"/>
                <w:sz w:val="24"/>
                <w:szCs w:val="24"/>
                <w:highlight w:val="none"/>
                <w:u w:val="none"/>
                <w:lang w:val="en-US"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sz w:val="24"/>
                <w:szCs w:val="24"/>
                <w:lang w:val="en-US"/>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已于2021年5月完成该项目资金支付</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2410" w:type="dxa"/>
          <w:trHeight w:val="953"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涉及司法绩效改革人数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53人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53人</w:t>
            </w:r>
          </w:p>
        </w:tc>
      </w:tr>
      <w:tr>
        <w:tblPrEx>
          <w:tblCellMar>
            <w:top w:w="0" w:type="dxa"/>
            <w:left w:w="0" w:type="dxa"/>
            <w:bottom w:w="0" w:type="dxa"/>
            <w:right w:w="0" w:type="dxa"/>
          </w:tblCellMar>
        </w:tblPrEx>
        <w:trPr>
          <w:gridAfter w:val="1"/>
          <w:wAfter w:w="2410" w:type="dxa"/>
          <w:trHeight w:val="1297"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支付合规性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完全合规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完全合规</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案件办理期限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2021年6月30日前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2021年</w:t>
            </w:r>
            <w:r>
              <w:rPr>
                <w:rFonts w:hint="eastAsia" w:ascii="宋体" w:hAnsi="宋体" w:eastAsia="宋体" w:cs="宋体"/>
                <w:i w:val="0"/>
                <w:color w:val="auto"/>
                <w:sz w:val="24"/>
                <w:szCs w:val="24"/>
                <w:highlight w:val="none"/>
                <w:u w:val="none"/>
                <w:lang w:val="en-US" w:eastAsia="zh-CN"/>
              </w:rPr>
              <w:t>5</w:t>
            </w:r>
            <w:r>
              <w:rPr>
                <w:rFonts w:hint="eastAsia" w:ascii="宋体" w:hAnsi="宋体" w:eastAsia="宋体" w:cs="宋体"/>
                <w:i w:val="0"/>
                <w:color w:val="auto"/>
                <w:sz w:val="24"/>
                <w:szCs w:val="24"/>
                <w:highlight w:val="none"/>
                <w:u w:val="none"/>
              </w:rPr>
              <w:t>月3</w:t>
            </w:r>
            <w:r>
              <w:rPr>
                <w:rFonts w:hint="eastAsia" w:ascii="宋体" w:hAnsi="宋体" w:eastAsia="宋体" w:cs="宋体"/>
                <w:i w:val="0"/>
                <w:color w:val="auto"/>
                <w:sz w:val="24"/>
                <w:szCs w:val="24"/>
                <w:highlight w:val="none"/>
                <w:u w:val="none"/>
                <w:lang w:val="en-US" w:eastAsia="zh-CN"/>
              </w:rPr>
              <w:t>1</w:t>
            </w:r>
            <w:r>
              <w:rPr>
                <w:rFonts w:hint="eastAsia" w:ascii="宋体" w:hAnsi="宋体" w:eastAsia="宋体" w:cs="宋体"/>
                <w:i w:val="0"/>
                <w:color w:val="auto"/>
                <w:sz w:val="24"/>
                <w:szCs w:val="24"/>
                <w:highlight w:val="none"/>
                <w:u w:val="none"/>
              </w:rPr>
              <w:t>日前</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支出总额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115万元内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11</w:t>
            </w:r>
            <w:r>
              <w:rPr>
                <w:rFonts w:hint="eastAsia" w:ascii="宋体" w:hAnsi="宋体" w:cs="宋体"/>
                <w:i w:val="0"/>
                <w:color w:val="auto"/>
                <w:sz w:val="24"/>
                <w:szCs w:val="24"/>
                <w:highlight w:val="none"/>
                <w:u w:val="none"/>
                <w:lang w:val="en-US" w:eastAsia="zh-CN"/>
              </w:rPr>
              <w:t>4.79</w:t>
            </w:r>
            <w:r>
              <w:rPr>
                <w:rFonts w:hint="eastAsia" w:ascii="宋体" w:hAnsi="宋体" w:eastAsia="宋体" w:cs="宋体"/>
                <w:i w:val="0"/>
                <w:color w:val="auto"/>
                <w:sz w:val="24"/>
                <w:szCs w:val="24"/>
                <w:highlight w:val="none"/>
                <w:u w:val="none"/>
                <w:lang w:val="en-US" w:eastAsia="zh-CN"/>
              </w:rPr>
              <w:t>万元</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司法责任制改革推进有力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达到相关要求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达到相关要求</w:t>
            </w:r>
          </w:p>
        </w:tc>
      </w:tr>
      <w:tr>
        <w:tblPrEx>
          <w:tblCellMar>
            <w:top w:w="0" w:type="dxa"/>
            <w:left w:w="0" w:type="dxa"/>
            <w:bottom w:w="0" w:type="dxa"/>
            <w:right w:w="0" w:type="dxa"/>
          </w:tblCellMar>
        </w:tblPrEx>
        <w:trPr>
          <w:trHeight w:val="1050" w:hRule="atLeast"/>
          <w:jc w:val="center"/>
        </w:trPr>
        <w:tc>
          <w:tcPr>
            <w:tcW w:w="6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w:t>
            </w:r>
            <w:r>
              <w:rPr>
                <w:rFonts w:hint="eastAsia" w:ascii="宋体" w:hAnsi="宋体" w:eastAsia="宋体" w:cs="宋体"/>
                <w:i w:val="0"/>
                <w:color w:val="auto"/>
                <w:sz w:val="24"/>
                <w:szCs w:val="24"/>
                <w:highlight w:val="none"/>
                <w:u w:val="none"/>
                <w:lang w:val="en-US" w:eastAsia="zh-CN"/>
              </w:rPr>
              <w:t>80</w:t>
            </w:r>
            <w:r>
              <w:rPr>
                <w:rFonts w:hint="eastAsia" w:ascii="宋体" w:hAnsi="宋体" w:eastAsia="宋体" w:cs="宋体"/>
                <w:i w:val="0"/>
                <w:color w:val="auto"/>
                <w:sz w:val="24"/>
                <w:szCs w:val="24"/>
                <w:highlight w:val="none"/>
                <w:u w:val="none"/>
              </w:rPr>
              <w:t>%</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sz w:val="21"/>
                <w:szCs w:val="21"/>
                <w:highlight w:val="none"/>
                <w:u w:val="none"/>
                <w:lang w:val="en-US" w:eastAsia="zh-CN"/>
              </w:rPr>
              <w:t>90%</w:t>
            </w:r>
          </w:p>
        </w:tc>
      </w:tr>
    </w:tbl>
    <w:p>
      <w:pPr>
        <w:pStyle w:val="2"/>
        <w:rPr>
          <w:rFonts w:hint="eastAsia"/>
          <w:lang w:val="en-US" w:eastAsia="zh-CN"/>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eastAsia="zh-CN"/>
              </w:rPr>
              <w:t>业务装备购置</w:t>
            </w:r>
            <w:r>
              <w:rPr>
                <w:rFonts w:hint="eastAsia" w:ascii="宋体" w:hAnsi="宋体" w:eastAsia="宋体" w:cs="宋体"/>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邻水县人民检察院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trHeight w:val="33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5"/>
              </w:numPr>
              <w:ind w:left="420" w:leftChars="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完成听证室建设，</w:t>
            </w:r>
          </w:p>
          <w:p>
            <w:pPr>
              <w:pStyle w:val="2"/>
              <w:numPr>
                <w:ilvl w:val="0"/>
                <w:numId w:val="5"/>
              </w:numPr>
              <w:ind w:left="42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支付公益诉讼快速检测实验室建设应分摊的费用</w:t>
            </w:r>
          </w:p>
          <w:p>
            <w:pPr>
              <w:pStyle w:val="2"/>
              <w:numPr>
                <w:ilvl w:val="0"/>
                <w:numId w:val="5"/>
              </w:numPr>
              <w:ind w:left="42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完成网络一体化建设</w:t>
            </w:r>
          </w:p>
          <w:p>
            <w:pPr>
              <w:pStyle w:val="2"/>
              <w:numPr>
                <w:ilvl w:val="0"/>
                <w:numId w:val="5"/>
              </w:numPr>
              <w:ind w:left="42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完成63名检察人员的夏季服装换装</w:t>
            </w:r>
          </w:p>
          <w:p>
            <w:pPr>
              <w:pStyle w:val="2"/>
              <w:numPr>
                <w:ilvl w:val="0"/>
                <w:numId w:val="5"/>
              </w:numPr>
              <w:ind w:left="42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支付业务装备运行维修费、网络维护费、网络分级保护尾款</w:t>
            </w:r>
          </w:p>
          <w:p>
            <w:pPr>
              <w:pStyle w:val="2"/>
              <w:numPr>
                <w:ilvl w:val="0"/>
                <w:numId w:val="5"/>
              </w:numPr>
              <w:ind w:left="42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购置案卷装订机一台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除第</w:t>
            </w:r>
            <w:r>
              <w:rPr>
                <w:rFonts w:hint="eastAsia" w:ascii="宋体" w:hAnsi="宋体" w:eastAsia="宋体" w:cs="宋体"/>
                <w:color w:val="000000"/>
                <w:sz w:val="24"/>
                <w:szCs w:val="24"/>
                <w:lang w:val="en-US" w:eastAsia="zh-CN"/>
              </w:rPr>
              <w:t>1项外，其他全部完成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完成项目建设个数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项目建设规范性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规范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项目完成期限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2021年12月底前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8个项目中有7个完成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项目支出总额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不超过</w:t>
            </w:r>
            <w:r>
              <w:rPr>
                <w:rFonts w:hint="eastAsia" w:ascii="宋体" w:hAnsi="宋体" w:eastAsia="宋体" w:cs="宋体"/>
                <w:color w:val="000000"/>
                <w:sz w:val="24"/>
                <w:szCs w:val="24"/>
                <w:lang w:val="en-US" w:eastAsia="zh-CN"/>
              </w:rPr>
              <w:t>128万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促进司法工作，维护公平正义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目标完成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w:t>
            </w:r>
            <w:r>
              <w:rPr>
                <w:rFonts w:hint="eastAsia" w:ascii="宋体" w:hAnsi="宋体" w:eastAsia="宋体" w:cs="宋体"/>
                <w:i w:val="0"/>
                <w:color w:val="auto"/>
                <w:sz w:val="24"/>
                <w:szCs w:val="24"/>
                <w:highlight w:val="none"/>
                <w:u w:val="none"/>
                <w:lang w:val="en-US" w:eastAsia="zh-CN"/>
              </w:rPr>
              <w:t>85</w:t>
            </w:r>
            <w:r>
              <w:rPr>
                <w:rFonts w:hint="eastAsia" w:ascii="宋体" w:hAnsi="宋体" w:eastAsia="宋体" w:cs="宋体"/>
                <w:i w:val="0"/>
                <w:color w:val="auto"/>
                <w:sz w:val="24"/>
                <w:szCs w:val="24"/>
                <w:highlight w:val="none"/>
                <w:u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89%</w:t>
            </w:r>
          </w:p>
        </w:tc>
      </w:tr>
    </w:tbl>
    <w:p>
      <w:pPr>
        <w:ind w:firstLine="480" w:firstLineChars="200"/>
        <w:rPr>
          <w:rFonts w:hint="eastAsia" w:ascii="宋体" w:hAnsi="宋体" w:eastAsia="宋体" w:cs="宋体"/>
          <w:sz w:val="24"/>
          <w:szCs w:val="24"/>
          <w:lang w:val="en-US" w:eastAsia="zh-CN"/>
        </w:rPr>
      </w:pPr>
    </w:p>
    <w:p>
      <w:pPr>
        <w:overflowPunct w:val="0"/>
        <w:adjustRightInd w:val="0"/>
        <w:snapToGrid w:val="0"/>
        <w:spacing w:line="590" w:lineRule="exact"/>
        <w:ind w:firstLine="660" w:firstLineChars="200"/>
        <w:rPr>
          <w:rFonts w:eastAsia="方正仿宋_GBK" w:cs="方正仿宋_GBK"/>
          <w:snapToGrid w:val="0"/>
          <w:kern w:val="0"/>
          <w:sz w:val="33"/>
          <w:szCs w:val="33"/>
        </w:rPr>
      </w:pPr>
      <w:r>
        <w:rPr>
          <w:rFonts w:hint="eastAsia" w:eastAsia="方正仿宋_GBK" w:cs="方正仿宋_GBK"/>
          <w:b/>
          <w:bCs/>
          <w:snapToGrid w:val="0"/>
          <w:kern w:val="0"/>
          <w:sz w:val="33"/>
          <w:szCs w:val="33"/>
        </w:rPr>
        <w:t>2.部门绩效评价结果。</w:t>
      </w:r>
      <w:r>
        <w:rPr>
          <w:rFonts w:hint="eastAsia" w:eastAsia="方正仿宋_GBK" w:cs="方正仿宋_GBK"/>
          <w:snapToGrid w:val="0"/>
          <w:kern w:val="0"/>
          <w:sz w:val="33"/>
          <w:szCs w:val="33"/>
        </w:rPr>
        <w:t>本部门按要求对2021年部门整体支出绩效评价情况开展自评，</w:t>
      </w:r>
      <w:r>
        <w:rPr>
          <w:rFonts w:hint="eastAsia" w:eastAsia="方正仿宋_GBK" w:cs="方正仿宋_GBK"/>
          <w:b/>
          <w:bCs/>
          <w:snapToGrid w:val="0"/>
          <w:kern w:val="0"/>
          <w:sz w:val="33"/>
          <w:szCs w:val="33"/>
        </w:rPr>
        <w:t>《邻水</w:t>
      </w:r>
      <w:r>
        <w:rPr>
          <w:rFonts w:hint="eastAsia" w:eastAsia="方正仿宋_GBK" w:cs="方正仿宋_GBK"/>
          <w:b/>
          <w:bCs/>
          <w:snapToGrid w:val="0"/>
          <w:kern w:val="0"/>
          <w:sz w:val="33"/>
          <w:szCs w:val="33"/>
          <w:lang w:eastAsia="zh-CN"/>
        </w:rPr>
        <w:t>县人民检察院</w:t>
      </w:r>
      <w:r>
        <w:rPr>
          <w:rFonts w:hint="eastAsia" w:eastAsia="方正仿宋_GBK" w:cs="方正仿宋_GBK"/>
          <w:b/>
          <w:bCs/>
          <w:snapToGrid w:val="0"/>
          <w:kern w:val="0"/>
          <w:sz w:val="33"/>
          <w:szCs w:val="33"/>
        </w:rPr>
        <w:t>2021年部门整体支出绩效评价报告》见附件（附件1）。</w:t>
      </w:r>
    </w:p>
    <w:p>
      <w:pPr>
        <w:overflowPunct w:val="0"/>
        <w:adjustRightInd w:val="0"/>
        <w:snapToGrid w:val="0"/>
        <w:spacing w:line="590" w:lineRule="exact"/>
        <w:ind w:firstLine="660" w:firstLineChars="200"/>
        <w:rPr>
          <w:rFonts w:eastAsia="方正仿宋_GBK" w:cs="方正仿宋_GBK"/>
          <w:b/>
          <w:bCs/>
          <w:snapToGrid w:val="0"/>
          <w:kern w:val="0"/>
          <w:sz w:val="33"/>
          <w:szCs w:val="33"/>
        </w:rPr>
      </w:pPr>
      <w:r>
        <w:rPr>
          <w:rFonts w:hint="eastAsia" w:eastAsia="方正仿宋_GBK" w:cs="方正仿宋_GBK"/>
          <w:snapToGrid w:val="0"/>
          <w:kern w:val="0"/>
          <w:sz w:val="33"/>
          <w:szCs w:val="33"/>
        </w:rPr>
        <w:t>本部门自行组织对办案业务经费项目、业务装备采购项目、2020年度司法改革绩效考核项目开展了绩效评价，这三个项目自评</w:t>
      </w:r>
      <w:r>
        <w:rPr>
          <w:rFonts w:hint="eastAsia" w:eastAsia="方正仿宋_GBK" w:cs="方正仿宋_GBK"/>
          <w:b/>
          <w:bCs/>
          <w:snapToGrid w:val="0"/>
          <w:kern w:val="0"/>
          <w:sz w:val="33"/>
          <w:szCs w:val="33"/>
        </w:rPr>
        <w:t>见附件（附件2）。</w:t>
      </w:r>
    </w:p>
    <w:p>
      <w:pPr>
        <w:pStyle w:val="2"/>
        <w:overflowPunct w:val="0"/>
        <w:adjustRightInd w:val="0"/>
        <w:snapToGrid w:val="0"/>
        <w:spacing w:beforeLines="0" w:line="590" w:lineRule="exact"/>
        <w:ind w:firstLine="660" w:firstLineChars="200"/>
        <w:rPr>
          <w:rFonts w:ascii="Times New Roman" w:eastAsia="方正仿宋_GBK" w:cs="方正仿宋_GBK"/>
          <w:snapToGrid w:val="0"/>
          <w:sz w:val="33"/>
          <w:szCs w:val="33"/>
          <w:highlight w:val="yellow"/>
        </w:rPr>
      </w:pPr>
      <w:r>
        <w:rPr>
          <w:rFonts w:hint="eastAsia" w:ascii="Times New Roman" w:eastAsia="方正仿宋_GBK" w:cs="方正仿宋_GBK"/>
          <w:b/>
          <w:bCs/>
          <w:snapToGrid w:val="0"/>
          <w:sz w:val="33"/>
          <w:szCs w:val="33"/>
        </w:rPr>
        <w:t>《100万元以上（含）特定目标类部门预算项目绩效目标自评表》（附件3）。</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widowControl/>
        <w:ind w:firstLine="3080" w:firstLineChars="700"/>
        <w:jc w:val="left"/>
        <w:rPr>
          <w:rStyle w:val="26"/>
          <w:rFonts w:ascii="黑体" w:hAnsi="黑体" w:eastAsia="黑体"/>
          <w:b w:val="0"/>
          <w:color w:val="auto"/>
          <w:highlight w:val="none"/>
        </w:rPr>
      </w:pPr>
      <w:bookmarkStart w:id="56" w:name="_Toc15396613"/>
      <w:bookmarkStart w:id="57" w:name="_Toc15377225"/>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6"/>
      <w:bookmarkEnd w:id="57"/>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.公共安全（类）检察院（款）行政运行（项）：指反映行政单位（包括实行公务员管理的事业单位）的基本支出。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.公共安全（类）检察院（款）检察监督（项）：反映检察机关依法开展法律监督工作的支出（包括侦察监督、公诉、审判监督、执行监督、民事行政监督、公益诉讼、控告申诉等）。</w:t>
      </w:r>
    </w:p>
    <w:p>
      <w:pPr>
        <w:pStyle w:val="8"/>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 xml:space="preserve">   7.</w:t>
      </w:r>
      <w:r>
        <w:rPr>
          <w:rFonts w:hint="eastAsia" w:ascii="仿宋_GB2312" w:eastAsia="仿宋_GB2312"/>
          <w:color w:val="000000"/>
          <w:sz w:val="32"/>
          <w:szCs w:val="32"/>
        </w:rPr>
        <w:t>公共安全（类）检察院（款） 其他检察支出（项）：</w:t>
      </w:r>
      <w:r>
        <w:rPr>
          <w:rFonts w:hint="eastAsia" w:ascii="仿宋_GB2312" w:eastAsia="仿宋_GB2312"/>
          <w:color w:val="000000"/>
          <w:sz w:val="32"/>
          <w:szCs w:val="32"/>
          <w:lang w:eastAsia="zh-CN"/>
        </w:rPr>
        <w:t>反映其他用于检察方面的支出。</w:t>
      </w:r>
    </w:p>
    <w:p>
      <w:pPr>
        <w:ind w:firstLine="660" w:firstLineChars="200"/>
        <w:rPr>
          <w:rFonts w:hint="eastAsia" w:eastAsia="仿宋_GB2312"/>
          <w:lang w:eastAsia="zh-CN"/>
        </w:rPr>
      </w:pPr>
      <w:r>
        <w:rPr>
          <w:rFonts w:hint="eastAsia" w:ascii="仿宋_GB2312" w:eastAsia="仿宋_GB2312" w:cs="仿宋_GB2312"/>
          <w:i w:val="0"/>
          <w:iCs w:val="0"/>
          <w:caps w:val="0"/>
          <w:color w:val="000000"/>
          <w:spacing w:val="0"/>
          <w:sz w:val="33"/>
          <w:szCs w:val="33"/>
          <w:shd w:val="clear" w:color="auto" w:fill="FFFFFF"/>
          <w:lang w:val="en-US" w:eastAsia="zh-CN"/>
        </w:rPr>
        <w:t>8.</w:t>
      </w:r>
      <w:r>
        <w:rPr>
          <w:rFonts w:hint="default" w:ascii="仿宋_GB2312" w:hAnsi="Times New Roman" w:eastAsia="仿宋_GB2312" w:cs="仿宋_GB2312"/>
          <w:i w:val="0"/>
          <w:iCs w:val="0"/>
          <w:caps w:val="0"/>
          <w:color w:val="000000"/>
          <w:spacing w:val="0"/>
          <w:sz w:val="33"/>
          <w:szCs w:val="33"/>
          <w:shd w:val="clear" w:color="auto" w:fill="FFFFFF"/>
          <w:lang w:eastAsia="zh-CN"/>
        </w:rPr>
        <w:t>社会保障和就业支出（类）行政事业单位养老支出（款） 行政单位离退休（项）</w:t>
      </w:r>
      <w:r>
        <w:rPr>
          <w:rFonts w:hint="eastAsia" w:ascii="仿宋_GB2312" w:hAnsi="Times New Roman" w:eastAsia="仿宋_GB2312" w:cs="仿宋_GB2312"/>
          <w:i w:val="0"/>
          <w:iCs w:val="0"/>
          <w:caps w:val="0"/>
          <w:color w:val="000000"/>
          <w:spacing w:val="0"/>
          <w:sz w:val="33"/>
          <w:szCs w:val="33"/>
          <w:shd w:val="clear" w:color="auto" w:fill="FFFFFF"/>
          <w:lang w:eastAsia="zh-CN"/>
        </w:rPr>
        <w:t>：</w:t>
      </w:r>
      <w:r>
        <w:rPr>
          <w:rFonts w:hint="eastAsia" w:ascii="仿宋_GB2312" w:eastAsia="仿宋_GB2312"/>
          <w:color w:val="000000"/>
          <w:sz w:val="32"/>
          <w:szCs w:val="32"/>
          <w:lang w:eastAsia="zh-CN"/>
        </w:rPr>
        <w:t>反映</w:t>
      </w:r>
      <w:r>
        <w:rPr>
          <w:rFonts w:hint="eastAsia" w:ascii="仿宋_GB2312" w:eastAsia="仿宋_GB2312"/>
          <w:color w:val="000000"/>
          <w:sz w:val="32"/>
          <w:szCs w:val="32"/>
        </w:rPr>
        <w:t>行政单位（包括实行公务员管理的事业单位）</w:t>
      </w:r>
      <w:r>
        <w:rPr>
          <w:rFonts w:hint="eastAsia" w:ascii="仿宋_GB2312" w:eastAsia="仿宋_GB2312"/>
          <w:color w:val="000000"/>
          <w:sz w:val="32"/>
          <w:szCs w:val="32"/>
          <w:lang w:eastAsia="zh-CN"/>
        </w:rPr>
        <w:t>开支</w:t>
      </w:r>
      <w:r>
        <w:rPr>
          <w:rFonts w:hint="eastAsia" w:ascii="仿宋_GB2312" w:eastAsia="仿宋_GB2312"/>
          <w:color w:val="000000"/>
          <w:sz w:val="32"/>
          <w:szCs w:val="32"/>
        </w:rPr>
        <w:t>的</w:t>
      </w:r>
      <w:r>
        <w:rPr>
          <w:rFonts w:hint="eastAsia" w:ascii="仿宋_GB2312" w:eastAsia="仿宋_GB2312"/>
          <w:color w:val="000000"/>
          <w:sz w:val="32"/>
          <w:szCs w:val="32"/>
          <w:lang w:eastAsia="zh-CN"/>
        </w:rPr>
        <w:t>离退休经费。</w:t>
      </w:r>
    </w:p>
    <w:p>
      <w:pPr>
        <w:rPr>
          <w:rFonts w:hint="eastAsia"/>
          <w:lang w:eastAsia="zh-CN"/>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社会保障和就业（类）行政事业单位离退休（款）</w:t>
      </w:r>
    </w:p>
    <w:p>
      <w:pPr>
        <w:rPr>
          <w:rFonts w:hint="eastAsia" w:ascii="仿宋_GB2312" w:eastAsia="仿宋_GB2312"/>
          <w:color w:val="000000"/>
          <w:sz w:val="32"/>
          <w:szCs w:val="32"/>
        </w:rPr>
      </w:pPr>
      <w:r>
        <w:rPr>
          <w:rFonts w:hint="eastAsia" w:ascii="仿宋_GB2312" w:eastAsia="仿宋_GB2312"/>
          <w:color w:val="000000"/>
          <w:sz w:val="32"/>
          <w:szCs w:val="32"/>
        </w:rPr>
        <w:t xml:space="preserve"> 机关事业单位基本养老保险缴费支出及机关事业单位职业年金缴费支出（项</w:t>
      </w:r>
      <w:r>
        <w:rPr>
          <w:rFonts w:hint="eastAsia" w:ascii="仿宋_GB2312" w:eastAsia="仿宋_GB2312"/>
          <w:b/>
          <w:color w:val="000000"/>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w:t>
      </w:r>
      <w:r>
        <w:rPr>
          <w:rFonts w:hint="eastAsia" w:ascii="仿宋_GB2312" w:eastAsia="仿宋_GB2312"/>
          <w:color w:val="000000"/>
          <w:sz w:val="32"/>
          <w:szCs w:val="32"/>
        </w:rPr>
        <w:t>机关事业单位基本养老保险缴费支出及机关事业单位职业年金缴费支出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default" w:ascii="仿宋_GB2312" w:eastAsia="仿宋_GB2312"/>
          <w:color w:val="000000"/>
          <w:sz w:val="32"/>
          <w:szCs w:val="32"/>
          <w:lang w:eastAsia="zh-CN"/>
        </w:rPr>
        <w:t>社会保障和就业支出（类）行政事业单位养老支出（款）其他行政事业单位养老支出</w:t>
      </w:r>
      <w:r>
        <w:rPr>
          <w:rFonts w:hint="eastAsia" w:ascii="仿宋_GB2312" w:eastAsia="仿宋_GB2312"/>
          <w:color w:val="000000"/>
          <w:sz w:val="32"/>
          <w:szCs w:val="32"/>
          <w:lang w:eastAsia="zh-CN"/>
        </w:rPr>
        <w:t>（项）：反映其他用于行政事业单位养老方面的支出。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w:t>
      </w:r>
      <w:r>
        <w:rPr>
          <w:rFonts w:hint="default" w:ascii="仿宋_GB2312" w:eastAsia="仿宋_GB2312"/>
          <w:color w:val="000000"/>
          <w:sz w:val="32"/>
          <w:szCs w:val="32"/>
          <w:lang w:eastAsia="zh-CN"/>
        </w:rPr>
        <w:t> 社会保障和就业支出（类）抚恤（款）其他优抚支出（项）:</w:t>
      </w:r>
      <w:r>
        <w:rPr>
          <w:rFonts w:hint="eastAsia" w:ascii="仿宋_GB2312" w:eastAsia="仿宋_GB2312"/>
          <w:color w:val="000000"/>
          <w:sz w:val="32"/>
          <w:szCs w:val="32"/>
          <w:lang w:eastAsia="zh-CN"/>
        </w:rPr>
        <w:t>反映其他用于</w:t>
      </w:r>
      <w:r>
        <w:rPr>
          <w:rFonts w:hint="default" w:ascii="仿宋_GB2312" w:eastAsia="仿宋_GB2312"/>
          <w:color w:val="000000"/>
          <w:sz w:val="32"/>
          <w:szCs w:val="32"/>
          <w:lang w:eastAsia="zh-CN"/>
        </w:rPr>
        <w:t>优抚</w:t>
      </w:r>
      <w:r>
        <w:rPr>
          <w:rFonts w:hint="eastAsia" w:ascii="仿宋_GB2312" w:eastAsia="仿宋_GB2312"/>
          <w:color w:val="000000"/>
          <w:sz w:val="32"/>
          <w:szCs w:val="32"/>
          <w:lang w:eastAsia="zh-CN"/>
        </w:rPr>
        <w:t>方面的</w:t>
      </w:r>
      <w:r>
        <w:rPr>
          <w:rFonts w:hint="default" w:ascii="仿宋_GB2312" w:eastAsia="仿宋_GB2312"/>
          <w:color w:val="000000"/>
          <w:sz w:val="32"/>
          <w:szCs w:val="32"/>
          <w:lang w:eastAsia="zh-CN"/>
        </w:rPr>
        <w:t>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12.</w:t>
      </w:r>
      <w:r>
        <w:rPr>
          <w:rFonts w:hint="default" w:ascii="仿宋_GB2312" w:eastAsia="仿宋_GB2312"/>
          <w:color w:val="000000"/>
          <w:sz w:val="32"/>
          <w:szCs w:val="32"/>
          <w:lang w:eastAsia="zh-CN"/>
        </w:rPr>
        <w:t>卫生健康支出（类）计划生育事务（款）其他计划生育事务支出（项）:</w:t>
      </w:r>
      <w:r>
        <w:rPr>
          <w:rFonts w:hint="eastAsia" w:ascii="仿宋_GB2312" w:eastAsia="仿宋_GB2312"/>
          <w:color w:val="000000"/>
          <w:sz w:val="32"/>
          <w:szCs w:val="32"/>
          <w:lang w:eastAsia="zh-CN"/>
        </w:rPr>
        <w:t>反映其他用于</w:t>
      </w:r>
      <w:r>
        <w:rPr>
          <w:rFonts w:hint="default" w:ascii="仿宋_GB2312" w:eastAsia="仿宋_GB2312"/>
          <w:color w:val="000000"/>
          <w:sz w:val="32"/>
          <w:szCs w:val="32"/>
          <w:lang w:eastAsia="zh-CN"/>
        </w:rPr>
        <w:t>计划生育</w:t>
      </w:r>
      <w:r>
        <w:rPr>
          <w:rFonts w:hint="eastAsia" w:ascii="仿宋_GB2312" w:eastAsia="仿宋_GB2312"/>
          <w:color w:val="000000"/>
          <w:sz w:val="32"/>
          <w:szCs w:val="32"/>
          <w:lang w:eastAsia="zh-CN"/>
        </w:rPr>
        <w:t>管理</w:t>
      </w:r>
      <w:r>
        <w:rPr>
          <w:rFonts w:hint="default" w:ascii="仿宋_GB2312" w:eastAsia="仿宋_GB2312"/>
          <w:color w:val="000000"/>
          <w:sz w:val="32"/>
          <w:szCs w:val="32"/>
          <w:lang w:eastAsia="zh-CN"/>
        </w:rPr>
        <w:t>事务</w:t>
      </w:r>
      <w:r>
        <w:rPr>
          <w:rFonts w:hint="eastAsia" w:ascii="仿宋_GB2312" w:eastAsia="仿宋_GB2312"/>
          <w:color w:val="000000"/>
          <w:sz w:val="32"/>
          <w:szCs w:val="32"/>
          <w:lang w:eastAsia="zh-CN"/>
        </w:rPr>
        <w:t>方面的支出。</w:t>
      </w:r>
    </w:p>
    <w:p>
      <w:pPr>
        <w:numPr>
          <w:ilvl w:val="0"/>
          <w:numId w:val="0"/>
        </w:numPr>
        <w:ind w:firstLine="660" w:firstLineChars="200"/>
        <w:rPr>
          <w:rFonts w:hint="default" w:ascii="仿宋_GB2312" w:hAnsi="Times New Roman" w:eastAsia="仿宋_GB2312" w:cs="仿宋_GB2312"/>
          <w:i w:val="0"/>
          <w:iCs w:val="0"/>
          <w:caps w:val="0"/>
          <w:color w:val="000000"/>
          <w:spacing w:val="0"/>
          <w:sz w:val="33"/>
          <w:szCs w:val="33"/>
          <w:shd w:val="clear" w:color="auto" w:fill="FFFFFF"/>
          <w:lang w:val="en-US" w:eastAsia="zh-CN"/>
        </w:rPr>
      </w:pPr>
      <w:r>
        <w:rPr>
          <w:rFonts w:hint="eastAsia" w:ascii="仿宋_GB2312" w:eastAsia="仿宋_GB2312" w:cs="仿宋_GB2312"/>
          <w:i w:val="0"/>
          <w:iCs w:val="0"/>
          <w:caps w:val="0"/>
          <w:color w:val="000000"/>
          <w:spacing w:val="0"/>
          <w:sz w:val="33"/>
          <w:szCs w:val="33"/>
          <w:shd w:val="clear" w:color="auto" w:fill="FFFFFF"/>
          <w:lang w:val="en-US" w:eastAsia="zh-CN"/>
        </w:rPr>
        <w:t>13.</w:t>
      </w:r>
      <w:r>
        <w:rPr>
          <w:rFonts w:hint="eastAsia" w:ascii="仿宋_GB2312" w:hAnsi="Times New Roman" w:eastAsia="仿宋_GB2312" w:cs="仿宋_GB2312"/>
          <w:i w:val="0"/>
          <w:iCs w:val="0"/>
          <w:caps w:val="0"/>
          <w:color w:val="000000"/>
          <w:spacing w:val="0"/>
          <w:sz w:val="33"/>
          <w:szCs w:val="33"/>
          <w:shd w:val="clear" w:color="auto" w:fill="FFFFFF"/>
          <w:lang w:eastAsia="zh-CN"/>
        </w:rPr>
        <w:t>医疗卫生与计划生育（类）行政事业单位医疗（款）</w:t>
      </w:r>
    </w:p>
    <w:p>
      <w:pPr>
        <w:rPr>
          <w:rFonts w:hint="eastAsia" w:ascii="仿宋_GB2312" w:eastAsia="仿宋_GB2312"/>
          <w:color w:val="000000"/>
          <w:sz w:val="32"/>
          <w:szCs w:val="32"/>
          <w:lang w:eastAsia="zh-CN"/>
        </w:rPr>
      </w:pPr>
      <w:r>
        <w:rPr>
          <w:rFonts w:hint="eastAsia" w:ascii="仿宋_GB2312" w:hAnsi="Times New Roman" w:eastAsia="仿宋_GB2312" w:cs="仿宋_GB2312"/>
          <w:i w:val="0"/>
          <w:iCs w:val="0"/>
          <w:caps w:val="0"/>
          <w:color w:val="000000"/>
          <w:spacing w:val="0"/>
          <w:sz w:val="33"/>
          <w:szCs w:val="33"/>
          <w:shd w:val="clear" w:color="auto" w:fill="FFFFFF"/>
          <w:lang w:eastAsia="zh-CN"/>
        </w:rPr>
        <w:t>行政</w:t>
      </w:r>
      <w:r>
        <w:rPr>
          <w:rFonts w:hint="eastAsia" w:ascii="仿宋_GB2312" w:eastAsia="仿宋_GB2312"/>
          <w:color w:val="000000"/>
          <w:sz w:val="32"/>
          <w:szCs w:val="32"/>
          <w:lang w:eastAsia="zh-CN"/>
        </w:rPr>
        <w:t>单位医疗（项）：指行政单位医疗保险支出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住房保障支出（类）住房改革支出（款）住房公积金（项）：指职工住房公积金支出。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lang w:eastAsia="zh-CN"/>
        </w:rPr>
        <w:t>基本支出：指为保障机构正常运转、完成日常工作任务而发生的人员支出和公用支出。</w:t>
      </w:r>
    </w:p>
    <w:p>
      <w:pPr>
        <w:ind w:firstLine="640" w:firstLineChars="200"/>
        <w:rPr>
          <w:rFonts w:hint="default" w:ascii="仿宋_GB2312" w:eastAsia="仿宋_GB2312"/>
          <w:color w:val="000000"/>
          <w:sz w:val="32"/>
          <w:szCs w:val="32"/>
          <w:lang w:eastAsia="zh-CN"/>
        </w:rPr>
      </w:pP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6</w:t>
      </w:r>
      <w:r>
        <w:rPr>
          <w:rFonts w:hint="default" w:ascii="仿宋_GB2312" w:eastAsia="仿宋_GB2312"/>
          <w:color w:val="000000"/>
          <w:sz w:val="32"/>
          <w:szCs w:val="32"/>
          <w:lang w:eastAsia="zh-CN"/>
        </w:rPr>
        <w:t>.</w:t>
      </w:r>
      <w:r>
        <w:rPr>
          <w:rFonts w:hint="eastAsia" w:ascii="仿宋_GB2312" w:eastAsia="仿宋_GB2312"/>
          <w:color w:val="000000"/>
          <w:sz w:val="32"/>
          <w:szCs w:val="32"/>
          <w:lang w:eastAsia="zh-CN"/>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7</w:t>
      </w:r>
      <w:r>
        <w:rPr>
          <w:rFonts w:hint="default" w:ascii="仿宋_GB2312" w:eastAsia="仿宋_GB2312"/>
          <w:color w:val="000000"/>
          <w:sz w:val="32"/>
          <w:szCs w:val="32"/>
          <w:lang w:eastAsia="zh-CN"/>
        </w:rPr>
        <w:t>.</w:t>
      </w:r>
      <w:r>
        <w:rPr>
          <w:rFonts w:hint="eastAsia" w:ascii="仿宋_GB2312" w:eastAsia="仿宋_GB2312"/>
          <w:color w:val="000000"/>
          <w:sz w:val="32"/>
          <w:szCs w:val="32"/>
          <w:lang w:eastAsia="zh-CN"/>
        </w:rPr>
        <w:t>“三公”经费：指部门用财</w:t>
      </w:r>
      <w:r>
        <w:rPr>
          <w:rFonts w:hint="eastAsia" w:ascii="仿宋_GB2312" w:eastAsia="仿宋_GB2312"/>
          <w:sz w:val="32"/>
          <w:szCs w:val="32"/>
        </w:rPr>
        <w:t>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eastAsia" w:ascii="黑体" w:hAnsi="黑体" w:eastAsia="黑体"/>
          <w:b w:val="0"/>
          <w:color w:val="auto"/>
          <w:highlight w:val="none"/>
          <w:lang w:eastAsia="zh-CN"/>
        </w:rPr>
      </w:pPr>
      <w:bookmarkStart w:id="58" w:name="_Toc15377226"/>
      <w:r>
        <w:rPr>
          <w:rFonts w:ascii="宋体"/>
          <w:b/>
          <w:color w:val="auto"/>
          <w:sz w:val="44"/>
          <w:szCs w:val="44"/>
          <w:highlight w:val="none"/>
        </w:rPr>
        <w:br w:type="page"/>
      </w:r>
      <w:bookmarkStart w:id="59"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9"/>
    </w:p>
    <w:p>
      <w:pPr>
        <w:pStyle w:val="2"/>
        <w:rPr>
          <w:rFonts w:hint="eastAsia" w:ascii="方正小标宋简体" w:hAnsi="方正小标宋简体" w:eastAsia="仿宋_GB2312" w:cs="方正小标宋简体"/>
          <w:color w:val="auto"/>
          <w:sz w:val="44"/>
          <w:szCs w:val="44"/>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w:t>
      </w:r>
    </w:p>
    <w:p>
      <w:pPr>
        <w:widowControl/>
        <w:spacing w:line="700" w:lineRule="exact"/>
        <w:contextualSpacing/>
        <w:jc w:val="center"/>
        <w:rPr>
          <w:rFonts w:ascii="方正小标宋_GBK" w:eastAsia="方正小标宋_GBK"/>
          <w:sz w:val="44"/>
          <w:szCs w:val="44"/>
          <w:shd w:val="clear" w:color="auto" w:fill="FFFFFF"/>
        </w:rPr>
      </w:pPr>
      <w:r>
        <w:rPr>
          <w:rFonts w:ascii="方正小标宋_GBK" w:hAnsi="宋体" w:eastAsia="方正小标宋_GBK"/>
          <w:sz w:val="44"/>
          <w:szCs w:val="44"/>
          <w:shd w:val="clear" w:color="auto" w:fill="FFFFFF"/>
        </w:rPr>
        <w:t>202</w:t>
      </w:r>
      <w:r>
        <w:rPr>
          <w:rFonts w:hint="eastAsia" w:ascii="方正小标宋_GBK" w:hAnsi="宋体" w:eastAsia="方正小标宋_GBK"/>
          <w:sz w:val="44"/>
          <w:szCs w:val="44"/>
          <w:shd w:val="clear" w:color="auto" w:fill="FFFFFF"/>
          <w:lang w:val="en-US" w:eastAsia="zh-CN"/>
        </w:rPr>
        <w:t>1</w:t>
      </w:r>
      <w:r>
        <w:rPr>
          <w:rFonts w:hint="eastAsia" w:ascii="方正小标宋_GBK" w:hAnsi="宋体" w:eastAsia="方正小标宋_GBK"/>
          <w:sz w:val="44"/>
          <w:szCs w:val="44"/>
          <w:shd w:val="clear" w:color="auto" w:fill="FFFFFF"/>
        </w:rPr>
        <w:t>年</w:t>
      </w:r>
      <w:r>
        <w:rPr>
          <w:rFonts w:hint="eastAsia" w:ascii="方正小标宋_GBK" w:hAnsi="宋体" w:eastAsia="方正小标宋_GBK"/>
          <w:sz w:val="44"/>
          <w:szCs w:val="44"/>
          <w:shd w:val="clear" w:color="auto" w:fill="FFFFFF"/>
          <w:lang w:eastAsia="zh-CN"/>
        </w:rPr>
        <w:t>邻水县人民检察院</w:t>
      </w:r>
      <w:r>
        <w:rPr>
          <w:rFonts w:hint="eastAsia" w:ascii="方正小标宋_GBK" w:hAnsi="宋体" w:eastAsia="方正小标宋_GBK"/>
          <w:sz w:val="44"/>
          <w:szCs w:val="44"/>
          <w:shd w:val="clear" w:color="auto" w:fill="FFFFFF"/>
        </w:rPr>
        <w:t>整体支出绩效</w:t>
      </w:r>
      <w:r>
        <w:rPr>
          <w:rFonts w:hint="eastAsia" w:ascii="方正小标宋_GBK" w:hAnsi="宋体" w:eastAsia="方正小标宋_GBK"/>
          <w:sz w:val="44"/>
          <w:szCs w:val="44"/>
          <w:shd w:val="clear" w:color="auto" w:fill="FFFFFF"/>
          <w:lang w:eastAsia="zh-CN"/>
        </w:rPr>
        <w:t>评价</w:t>
      </w:r>
      <w:r>
        <w:rPr>
          <w:rFonts w:hint="eastAsia" w:ascii="方正小标宋_GBK" w:hAnsi="宋体" w:eastAsia="方正小标宋_GBK"/>
          <w:sz w:val="44"/>
          <w:szCs w:val="44"/>
          <w:shd w:val="clear" w:color="auto" w:fill="FFFFFF"/>
        </w:rPr>
        <w:t>报告</w:t>
      </w:r>
    </w:p>
    <w:p>
      <w:pPr>
        <w:widowControl/>
        <w:adjustRightInd w:val="0"/>
        <w:snapToGrid w:val="0"/>
        <w:spacing w:line="590" w:lineRule="exact"/>
        <w:ind w:firstLine="660" w:firstLineChars="200"/>
        <w:contextualSpacing/>
        <w:jc w:val="left"/>
        <w:rPr>
          <w:rFonts w:ascii="方正仿宋_GBK" w:hAnsi="宋体" w:eastAsia="方正仿宋_GBK" w:cs="宋体"/>
          <w:color w:val="000000"/>
          <w:kern w:val="0"/>
          <w:sz w:val="33"/>
          <w:szCs w:val="33"/>
          <w:shd w:val="clear" w:color="auto" w:fill="FFFFFF"/>
        </w:rPr>
      </w:pPr>
    </w:p>
    <w:p>
      <w:pPr>
        <w:adjustRightInd w:val="0"/>
        <w:snapToGrid w:val="0"/>
        <w:spacing w:line="590" w:lineRule="exact"/>
        <w:ind w:firstLine="660" w:firstLineChars="200"/>
        <w:contextualSpacing/>
        <w:rPr>
          <w:rFonts w:ascii="方正黑体_GBK" w:hAnsi="宋体" w:eastAsia="方正黑体_GBK" w:cs="宋体"/>
          <w:color w:val="000000"/>
          <w:kern w:val="0"/>
          <w:sz w:val="33"/>
          <w:szCs w:val="33"/>
          <w:shd w:val="clear" w:color="auto" w:fill="FFFFFF"/>
          <w:lang w:val="zh-CN"/>
        </w:rPr>
      </w:pPr>
      <w:r>
        <w:rPr>
          <w:rFonts w:hint="eastAsia" w:ascii="方正黑体_GBK" w:hAnsi="宋体" w:eastAsia="方正黑体_GBK" w:cs="宋体"/>
          <w:color w:val="000000"/>
          <w:kern w:val="0"/>
          <w:sz w:val="33"/>
          <w:szCs w:val="33"/>
          <w:shd w:val="clear" w:color="auto" w:fill="FFFFFF"/>
        </w:rPr>
        <w:t>一、</w:t>
      </w:r>
      <w:r>
        <w:rPr>
          <w:rFonts w:hint="eastAsia" w:ascii="方正黑体_GBK" w:hAnsi="宋体" w:eastAsia="方正黑体_GBK" w:cs="宋体"/>
          <w:color w:val="000000"/>
          <w:kern w:val="0"/>
          <w:sz w:val="33"/>
          <w:szCs w:val="33"/>
          <w:shd w:val="clear" w:color="auto" w:fill="FFFFFF"/>
          <w:lang w:val="zh-CN"/>
        </w:rPr>
        <w:t>部门（单位）概况</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（一）机构组成</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sz w:val="32"/>
          <w:szCs w:val="32"/>
          <w:lang w:eastAsia="zh-CN"/>
        </w:rPr>
        <w:t>邻水县人民检察院</w:t>
      </w:r>
      <w:r>
        <w:rPr>
          <w:rFonts w:hint="eastAsia" w:ascii="仿宋" w:hAnsi="仿宋" w:eastAsia="仿宋" w:cs="仿宋"/>
          <w:color w:val="000000"/>
          <w:sz w:val="32"/>
          <w:szCs w:val="32"/>
        </w:rPr>
        <w:t>属于行政单位，</w:t>
      </w:r>
      <w:r>
        <w:rPr>
          <w:rFonts w:hint="eastAsia" w:ascii="仿宋" w:hAnsi="仿宋" w:eastAsia="仿宋" w:cs="仿宋"/>
          <w:color w:val="000000"/>
          <w:sz w:val="32"/>
          <w:szCs w:val="32"/>
          <w:lang w:val="en-US" w:eastAsia="zh-CN"/>
        </w:rPr>
        <w:t>2021年，</w:t>
      </w:r>
      <w:r>
        <w:rPr>
          <w:rFonts w:hint="eastAsia" w:ascii="仿宋" w:hAnsi="仿宋" w:eastAsia="仿宋" w:cs="仿宋"/>
          <w:color w:val="000000"/>
          <w:sz w:val="32"/>
          <w:szCs w:val="32"/>
        </w:rPr>
        <w:t>内设</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个，</w:t>
      </w:r>
      <w:r>
        <w:rPr>
          <w:rFonts w:hint="eastAsia" w:ascii="仿宋" w:hAnsi="仿宋" w:eastAsia="仿宋" w:cs="仿宋"/>
          <w:color w:val="000000"/>
          <w:sz w:val="32"/>
          <w:szCs w:val="32"/>
          <w:lang w:eastAsia="zh-CN"/>
        </w:rPr>
        <w:t>分别为第一检察部、第二检察部、第三检察部、第四检察部，第五检察部，综合业务部，政治部，办公室。</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（二）机构职能</w:t>
      </w:r>
    </w:p>
    <w:p>
      <w:pPr>
        <w:pStyle w:val="32"/>
        <w:ind w:firstLine="640"/>
        <w:rPr>
          <w:rFonts w:hint="eastAsia" w:ascii="方正仿宋_GBK" w:hAnsi="宋体" w:eastAsia="方正仿宋_GBK" w:cs="宋体"/>
          <w:color w:val="000000"/>
          <w:kern w:val="0"/>
          <w:sz w:val="33"/>
          <w:szCs w:val="33"/>
          <w:shd w:val="clear" w:color="auto" w:fill="FFFFFF"/>
          <w:lang w:val="zh-CN"/>
        </w:rPr>
      </w:pPr>
      <w:r>
        <w:rPr>
          <w:rFonts w:hint="eastAsia" w:ascii="仿宋_GB2312" w:eastAsia="仿宋_GB2312" w:cs="Times New Roman"/>
          <w:color w:val="000000"/>
          <w:sz w:val="32"/>
        </w:rPr>
        <w:t>邻水</w:t>
      </w:r>
      <w:r>
        <w:rPr>
          <w:rFonts w:hint="eastAsia" w:ascii="仿宋_GB2312" w:eastAsia="仿宋_GB2312" w:cs="Times New Roman"/>
          <w:sz w:val="32"/>
        </w:rPr>
        <w:t>县人民检察院是国家的法律监督机关，主要任务是根据宪法和法律，依法履行法律监督职能，保证国家法律的统一和正确实施。</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（三）人员概况</w:t>
      </w:r>
    </w:p>
    <w:p>
      <w:pPr>
        <w:numPr>
          <w:ilvl w:val="0"/>
          <w:numId w:val="0"/>
        </w:numPr>
        <w:adjustRightInd w:val="0"/>
        <w:snapToGrid w:val="0"/>
        <w:spacing w:line="590" w:lineRule="exact"/>
        <w:ind w:firstLine="640" w:firstLineChars="200"/>
        <w:contextualSpacing/>
        <w:rPr>
          <w:rFonts w:hint="eastAsia" w:ascii="方正仿宋_GBK" w:hAnsi="宋体" w:eastAsia="方正仿宋_GBK" w:cs="宋体"/>
          <w:color w:val="000000"/>
          <w:kern w:val="0"/>
          <w:sz w:val="33"/>
          <w:szCs w:val="33"/>
          <w:shd w:val="clear" w:color="auto" w:fill="FFFFFF"/>
          <w:lang w:val="zh-CN"/>
        </w:rPr>
      </w:pPr>
      <w:r>
        <w:rPr>
          <w:rFonts w:hint="eastAsia" w:ascii="仿宋" w:hAnsi="仿宋" w:eastAsia="仿宋" w:cs="仿宋"/>
          <w:color w:val="000000"/>
          <w:sz w:val="32"/>
          <w:szCs w:val="32"/>
          <w:lang w:val="en-US" w:eastAsia="zh-CN"/>
        </w:rPr>
        <w:t>2021年，</w:t>
      </w:r>
      <w:r>
        <w:rPr>
          <w:rFonts w:hint="eastAsia" w:ascii="仿宋" w:hAnsi="仿宋" w:eastAsia="仿宋" w:cs="仿宋"/>
          <w:color w:val="000000"/>
          <w:sz w:val="32"/>
          <w:szCs w:val="32"/>
          <w:lang w:eastAsia="zh-CN"/>
        </w:rPr>
        <w:t>政法专项</w:t>
      </w:r>
      <w:r>
        <w:rPr>
          <w:rFonts w:hint="eastAsia" w:ascii="仿宋" w:hAnsi="仿宋" w:eastAsia="仿宋" w:cs="仿宋"/>
          <w:color w:val="000000"/>
          <w:sz w:val="32"/>
          <w:szCs w:val="32"/>
        </w:rPr>
        <w:t>编制</w:t>
      </w:r>
      <w:r>
        <w:rPr>
          <w:rFonts w:hint="eastAsia" w:ascii="仿宋" w:hAnsi="仿宋" w:eastAsia="仿宋" w:cs="仿宋"/>
          <w:color w:val="000000"/>
          <w:sz w:val="32"/>
          <w:szCs w:val="32"/>
          <w:lang w:val="en-US" w:eastAsia="zh-CN"/>
        </w:rPr>
        <w:t>61人</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行政工勤编制</w:t>
      </w:r>
      <w:r>
        <w:rPr>
          <w:rFonts w:hint="eastAsia" w:ascii="仿宋" w:hAnsi="仿宋" w:eastAsia="仿宋" w:cs="仿宋"/>
          <w:color w:val="000000"/>
          <w:sz w:val="32"/>
          <w:szCs w:val="32"/>
          <w:lang w:val="en-US" w:eastAsia="zh-CN"/>
        </w:rPr>
        <w:t>5人，</w:t>
      </w:r>
      <w:r>
        <w:rPr>
          <w:rFonts w:hint="eastAsia" w:ascii="仿宋" w:hAnsi="仿宋" w:eastAsia="仿宋" w:cs="仿宋"/>
          <w:color w:val="000000"/>
          <w:sz w:val="32"/>
          <w:szCs w:val="32"/>
        </w:rPr>
        <w:t>在职实有人员</w:t>
      </w:r>
      <w:r>
        <w:rPr>
          <w:rFonts w:hint="eastAsia" w:ascii="仿宋" w:hAnsi="仿宋" w:eastAsia="仿宋" w:cs="仿宋"/>
          <w:color w:val="000000"/>
          <w:sz w:val="32"/>
          <w:szCs w:val="32"/>
          <w:lang w:val="en-US" w:eastAsia="zh-CN"/>
        </w:rPr>
        <w:t>63</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（其中政法专项</w:t>
      </w:r>
      <w:r>
        <w:rPr>
          <w:rFonts w:hint="eastAsia" w:ascii="仿宋" w:hAnsi="仿宋" w:eastAsia="仿宋" w:cs="仿宋"/>
          <w:color w:val="000000"/>
          <w:sz w:val="32"/>
          <w:szCs w:val="32"/>
        </w:rPr>
        <w:t>编制</w:t>
      </w:r>
      <w:r>
        <w:rPr>
          <w:rFonts w:hint="eastAsia" w:ascii="仿宋" w:hAnsi="仿宋" w:eastAsia="仿宋" w:cs="仿宋"/>
          <w:color w:val="000000"/>
          <w:sz w:val="32"/>
          <w:szCs w:val="32"/>
          <w:lang w:val="en-US" w:eastAsia="zh-CN"/>
        </w:rPr>
        <w:t>60人)</w:t>
      </w:r>
      <w:r>
        <w:rPr>
          <w:rFonts w:hint="eastAsia" w:ascii="仿宋" w:hAnsi="仿宋" w:eastAsia="仿宋" w:cs="仿宋"/>
          <w:color w:val="000000"/>
          <w:sz w:val="32"/>
          <w:szCs w:val="32"/>
        </w:rPr>
        <w:t>，退休人员</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w:t>
      </w:r>
      <w:r>
        <w:rPr>
          <w:rFonts w:hint="eastAsia" w:ascii="仿宋" w:hAnsi="仿宋" w:eastAsia="仿宋" w:cs="仿宋"/>
          <w:sz w:val="32"/>
        </w:rPr>
        <w:t>临聘书记员、司法协警共10人</w:t>
      </w:r>
      <w:r>
        <w:rPr>
          <w:rFonts w:hint="eastAsia" w:ascii="仿宋" w:hAnsi="仿宋" w:eastAsia="仿宋" w:cs="仿宋"/>
          <w:sz w:val="32"/>
          <w:lang w:val="en-US" w:eastAsia="zh-CN"/>
        </w:rPr>
        <w:t>,公</w:t>
      </w:r>
      <w:r>
        <w:rPr>
          <w:rFonts w:hint="eastAsia" w:ascii="仿宋" w:hAnsi="仿宋" w:eastAsia="仿宋" w:cs="仿宋"/>
          <w:sz w:val="32"/>
        </w:rPr>
        <w:t>益性岗位临时用工1</w:t>
      </w:r>
      <w:r>
        <w:rPr>
          <w:rFonts w:hint="eastAsia" w:ascii="仿宋" w:hAnsi="仿宋" w:eastAsia="仿宋" w:cs="仿宋"/>
          <w:sz w:val="32"/>
          <w:lang w:val="en-US" w:eastAsia="zh-CN"/>
        </w:rPr>
        <w:t>3</w:t>
      </w:r>
      <w:r>
        <w:rPr>
          <w:rFonts w:hint="eastAsia" w:ascii="仿宋" w:hAnsi="仿宋" w:eastAsia="仿宋" w:cs="仿宋"/>
          <w:sz w:val="32"/>
        </w:rPr>
        <w:t>人</w:t>
      </w:r>
      <w:r>
        <w:rPr>
          <w:rFonts w:hint="eastAsia" w:ascii="仿宋" w:hAnsi="仿宋" w:eastAsia="仿宋" w:cs="仿宋"/>
          <w:sz w:val="32"/>
          <w:lang w:val="en-US" w:eastAsia="zh-CN"/>
        </w:rPr>
        <w:t>,遗嘱人员2人。</w:t>
      </w:r>
    </w:p>
    <w:p>
      <w:pPr>
        <w:adjustRightInd w:val="0"/>
        <w:snapToGrid w:val="0"/>
        <w:spacing w:line="590" w:lineRule="exact"/>
        <w:ind w:firstLine="660" w:firstLineChars="200"/>
        <w:contextualSpacing/>
        <w:rPr>
          <w:rFonts w:ascii="方正黑体_GBK" w:hAnsi="宋体" w:eastAsia="方正黑体_GBK" w:cs="宋体"/>
          <w:color w:val="000000"/>
          <w:kern w:val="0"/>
          <w:sz w:val="33"/>
          <w:szCs w:val="33"/>
          <w:shd w:val="clear" w:color="auto" w:fill="FFFFFF"/>
        </w:rPr>
      </w:pPr>
      <w:r>
        <w:rPr>
          <w:rFonts w:hint="eastAsia" w:ascii="方正黑体_GBK" w:hAnsi="宋体" w:eastAsia="方正黑体_GBK" w:cs="宋体"/>
          <w:color w:val="000000"/>
          <w:kern w:val="0"/>
          <w:sz w:val="33"/>
          <w:szCs w:val="33"/>
          <w:shd w:val="clear" w:color="auto" w:fill="FFFFFF"/>
        </w:rPr>
        <w:t>二、部门财政资金收支情况</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（一）部门财政资金收入情况</w:t>
      </w:r>
    </w:p>
    <w:p>
      <w:pPr>
        <w:adjustRightInd w:val="0"/>
        <w:snapToGrid w:val="0"/>
        <w:spacing w:line="590" w:lineRule="exact"/>
        <w:ind w:firstLine="640" w:firstLineChars="200"/>
        <w:contextualSpacing/>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2021年财政资金总收入1990.12万元，其中，上年结转收入1990.12万元，2021年财政拨款收入1849.94万元。</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（二）部门财政资金支出情况</w:t>
      </w:r>
    </w:p>
    <w:p>
      <w:pPr>
        <w:numPr>
          <w:ilvl w:val="0"/>
          <w:numId w:val="0"/>
        </w:numPr>
        <w:adjustRightInd w:val="0"/>
        <w:snapToGrid w:val="0"/>
        <w:spacing w:line="590" w:lineRule="exact"/>
        <w:ind w:left="825" w:leftChars="0"/>
        <w:contextualSpacing/>
        <w:rPr>
          <w:rFonts w:hint="default" w:ascii="方正仿宋_GBK" w:hAnsi="宋体" w:eastAsia="方正仿宋_GBK" w:cs="宋体"/>
          <w:color w:val="000000"/>
          <w:kern w:val="0"/>
          <w:sz w:val="33"/>
          <w:szCs w:val="33"/>
          <w:shd w:val="clear" w:color="auto" w:fill="FFFFFF"/>
          <w:lang w:val="en-US"/>
        </w:rPr>
      </w:pPr>
      <w:r>
        <w:rPr>
          <w:rFonts w:hint="eastAsia" w:ascii="仿宋" w:hAnsi="仿宋" w:eastAsia="仿宋" w:cs="仿宋"/>
          <w:color w:val="000000"/>
          <w:kern w:val="0"/>
          <w:sz w:val="32"/>
          <w:szCs w:val="32"/>
          <w:shd w:val="clear" w:color="auto" w:fill="FFFFFF"/>
          <w:lang w:val="en-US" w:eastAsia="zh-CN"/>
        </w:rPr>
        <w:t>2021年财政资金支出1866.77万元，全部为财政拨款支出。</w:t>
      </w:r>
    </w:p>
    <w:p>
      <w:pPr>
        <w:adjustRightInd w:val="0"/>
        <w:snapToGrid w:val="0"/>
        <w:spacing w:line="590" w:lineRule="exact"/>
        <w:ind w:firstLine="660" w:firstLineChars="200"/>
        <w:contextualSpacing/>
        <w:rPr>
          <w:rFonts w:hint="default" w:ascii="方正黑体_GBK" w:hAnsi="宋体" w:eastAsia="方正黑体_GBK" w:cs="宋体"/>
          <w:color w:val="000000"/>
          <w:kern w:val="0"/>
          <w:sz w:val="33"/>
          <w:szCs w:val="33"/>
          <w:shd w:val="clear" w:color="auto" w:fill="FFFFFF"/>
          <w:lang w:val="en-US" w:eastAsia="zh-CN"/>
        </w:rPr>
      </w:pPr>
      <w:r>
        <w:rPr>
          <w:rFonts w:hint="eastAsia" w:ascii="方正黑体_GBK" w:hAnsi="宋体" w:eastAsia="方正黑体_GBK" w:cs="宋体"/>
          <w:color w:val="000000"/>
          <w:kern w:val="0"/>
          <w:sz w:val="33"/>
          <w:szCs w:val="33"/>
          <w:shd w:val="clear" w:color="auto" w:fill="FFFFFF"/>
        </w:rPr>
        <w:t>三、部门整体预算绩效管理情况</w:t>
      </w:r>
      <w:r>
        <w:rPr>
          <w:rFonts w:hint="eastAsia" w:ascii="方正黑体_GBK" w:hAnsi="宋体" w:eastAsia="方正黑体_GBK" w:cs="宋体"/>
          <w:color w:val="000000"/>
          <w:kern w:val="0"/>
          <w:sz w:val="33"/>
          <w:szCs w:val="33"/>
          <w:shd w:val="clear" w:color="auto" w:fill="FFFFFF"/>
          <w:lang w:eastAsia="zh-CN"/>
        </w:rPr>
        <w:t>，部分</w:t>
      </w:r>
      <w:r>
        <w:rPr>
          <w:rFonts w:hint="eastAsia" w:ascii="方正黑体_GBK" w:hAnsi="宋体" w:eastAsia="方正黑体_GBK" w:cs="宋体"/>
          <w:color w:val="000000"/>
          <w:kern w:val="0"/>
          <w:sz w:val="33"/>
          <w:szCs w:val="33"/>
          <w:shd w:val="clear" w:color="auto" w:fill="FFFFFF"/>
          <w:lang w:val="en-US" w:eastAsia="zh-CN"/>
        </w:rPr>
        <w:t>100分，自评得分91.7分</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themeColor="text1"/>
          <w:kern w:val="0"/>
          <w:sz w:val="33"/>
          <w:szCs w:val="33"/>
          <w:shd w:val="clear" w:color="auto" w:fill="FFFFFF"/>
          <w:lang w:val="en-US" w:eastAsia="zh-CN"/>
          <w14:textFill>
            <w14:solidFill>
              <w14:schemeClr w14:val="tx1"/>
            </w14:solidFill>
          </w14:textFill>
        </w:rPr>
      </w:pPr>
      <w:r>
        <w:rPr>
          <w:rFonts w:hint="eastAsia" w:ascii="方正楷体_GBK" w:hAnsi="方正楷体_GBK" w:eastAsia="方正楷体_GBK" w:cs="方正楷体_GBK"/>
          <w:b/>
          <w:bCs/>
          <w:color w:val="000000"/>
          <w:kern w:val="0"/>
          <w:sz w:val="33"/>
          <w:szCs w:val="33"/>
          <w:shd w:val="clear" w:color="auto" w:fill="FFFFFF"/>
          <w:lang w:val="zh-CN"/>
        </w:rPr>
        <w:t>（一）部门预算绩效管理，此项总分</w:t>
      </w:r>
      <w:r>
        <w:rPr>
          <w:rFonts w:hint="eastAsia" w:ascii="方正楷体_GBK" w:hAnsi="方正楷体_GBK" w:eastAsia="方正楷体_GBK" w:cs="方正楷体_GBK"/>
          <w:b/>
          <w:bCs/>
          <w:color w:val="000000"/>
          <w:kern w:val="0"/>
          <w:sz w:val="33"/>
          <w:szCs w:val="33"/>
          <w:shd w:val="clear" w:color="auto" w:fill="FFFFFF"/>
          <w:lang w:val="en-US" w:eastAsia="zh-CN"/>
        </w:rPr>
        <w:t>55分，实际得分</w:t>
      </w:r>
      <w:r>
        <w:rPr>
          <w:rFonts w:hint="eastAsia" w:ascii="方正楷体_GBK" w:hAnsi="方正楷体_GBK" w:eastAsia="方正楷体_GBK" w:cs="方正楷体_GBK"/>
          <w:b/>
          <w:bCs/>
          <w:color w:val="000000" w:themeColor="text1"/>
          <w:kern w:val="0"/>
          <w:sz w:val="33"/>
          <w:szCs w:val="33"/>
          <w:shd w:val="clear" w:color="auto" w:fill="FFFFFF"/>
          <w:lang w:val="en-US" w:eastAsia="zh-CN"/>
          <w14:textFill>
            <w14:solidFill>
              <w14:schemeClr w14:val="tx1"/>
            </w14:solidFill>
          </w14:textFill>
        </w:rPr>
        <w:t>46.7分</w:t>
      </w:r>
    </w:p>
    <w:p>
      <w:pPr>
        <w:adjustRightInd w:val="0"/>
        <w:snapToGrid w:val="0"/>
        <w:spacing w:line="590" w:lineRule="exact"/>
        <w:ind w:firstLine="66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方正仿宋_GBK" w:hAnsi="宋体" w:eastAsia="方正仿宋_GBK" w:cs="宋体"/>
          <w:color w:val="000000"/>
          <w:kern w:val="0"/>
          <w:sz w:val="33"/>
          <w:szCs w:val="33"/>
          <w:shd w:val="clear" w:color="auto" w:fill="FFFFFF"/>
          <w:lang w:val="en-US" w:eastAsia="zh-CN"/>
        </w:rPr>
        <w:t>1、</w:t>
      </w:r>
      <w:r>
        <w:rPr>
          <w:rFonts w:hint="eastAsia" w:ascii="仿宋" w:hAnsi="仿宋" w:eastAsia="仿宋" w:cs="仿宋"/>
          <w:color w:val="000000"/>
          <w:kern w:val="0"/>
          <w:sz w:val="32"/>
          <w:szCs w:val="32"/>
          <w:shd w:val="clear" w:color="auto" w:fill="FFFFFF"/>
          <w:lang w:val="zh-CN"/>
        </w:rPr>
        <w:t>部门年初预算编制科学准确，年初部门预算数</w:t>
      </w:r>
      <w:r>
        <w:rPr>
          <w:rFonts w:hint="eastAsia" w:ascii="仿宋" w:hAnsi="仿宋" w:eastAsia="仿宋" w:cs="仿宋"/>
          <w:color w:val="000000"/>
          <w:kern w:val="0"/>
          <w:sz w:val="32"/>
          <w:szCs w:val="32"/>
          <w:shd w:val="clear" w:color="auto" w:fill="FFFFFF"/>
          <w:lang w:val="en-US" w:eastAsia="zh-CN"/>
        </w:rPr>
        <w:t>1718万，部门全年预算调剂金额30万，根据该项指标计分标准，应得分=(1-(10×30/1718)×5=4分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rPr>
        <w:t>部门绩效目标要素完整、细化量化，应得分</w:t>
      </w:r>
      <w:r>
        <w:rPr>
          <w:rFonts w:hint="eastAsia" w:ascii="仿宋" w:hAnsi="仿宋" w:eastAsia="仿宋" w:cs="仿宋"/>
          <w:color w:val="000000"/>
          <w:kern w:val="0"/>
          <w:sz w:val="32"/>
          <w:szCs w:val="32"/>
          <w:shd w:val="clear" w:color="auto" w:fill="FFFFFF"/>
          <w:lang w:val="en-US" w:eastAsia="zh-CN"/>
        </w:rPr>
        <w:t>10分。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3、部门绩效目标基本实现，年初预算5个项目（含基本支出项目），达到预期值的项目为4个，应得分4分。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lang w:val="zh-CN"/>
        </w:rPr>
        <w:t>支出控制情况：部门公用经费及非定额公用支出预算</w:t>
      </w:r>
      <w:r>
        <w:rPr>
          <w:rFonts w:hint="eastAsia" w:ascii="仿宋" w:hAnsi="仿宋" w:eastAsia="仿宋" w:cs="仿宋"/>
          <w:color w:val="000000"/>
          <w:kern w:val="0"/>
          <w:sz w:val="32"/>
          <w:szCs w:val="32"/>
          <w:shd w:val="clear" w:color="auto" w:fill="FFFFFF"/>
          <w:lang w:val="en-US" w:eastAsia="zh-CN"/>
        </w:rPr>
        <w:t>601万元，决算501万，偏差16.7%，应得分3分。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lang w:val="zh-CN"/>
        </w:rPr>
        <w:t>及时处置情况：</w:t>
      </w:r>
      <w:r>
        <w:rPr>
          <w:rFonts w:hint="eastAsia" w:ascii="仿宋" w:hAnsi="仿宋" w:eastAsia="仿宋" w:cs="仿宋"/>
          <w:color w:val="000000"/>
          <w:kern w:val="0"/>
          <w:sz w:val="32"/>
          <w:szCs w:val="32"/>
          <w:shd w:val="clear" w:color="auto" w:fill="FFFFFF"/>
          <w:lang w:val="en-US" w:eastAsia="zh-CN"/>
        </w:rPr>
        <w:t>2021</w:t>
      </w:r>
      <w:r>
        <w:rPr>
          <w:rFonts w:hint="eastAsia" w:ascii="仿宋" w:hAnsi="仿宋" w:eastAsia="仿宋" w:cs="仿宋"/>
          <w:color w:val="000000"/>
          <w:kern w:val="0"/>
          <w:sz w:val="32"/>
          <w:szCs w:val="32"/>
          <w:shd w:val="clear" w:color="auto" w:fill="FFFFFF"/>
          <w:lang w:val="zh-CN"/>
        </w:rPr>
        <w:t>开展绩效运行监控后，将绩效监控结果及时应用到预算调整，部门绩效监控调整取消额149万，预算结余注销额123万 ，</w:t>
      </w:r>
      <w:r>
        <w:rPr>
          <w:rFonts w:hint="eastAsia" w:ascii="仿宋" w:hAnsi="仿宋" w:eastAsia="仿宋" w:cs="仿宋"/>
          <w:color w:val="000000"/>
          <w:kern w:val="0"/>
          <w:sz w:val="32"/>
          <w:szCs w:val="32"/>
          <w:shd w:val="clear" w:color="auto" w:fill="FFFFFF"/>
          <w:lang w:val="en-US" w:eastAsia="zh-CN"/>
        </w:rPr>
        <w:t>应得分2.7分。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6、</w:t>
      </w:r>
      <w:r>
        <w:rPr>
          <w:rFonts w:hint="default" w:ascii="仿宋" w:hAnsi="仿宋" w:eastAsia="仿宋" w:cs="仿宋"/>
          <w:color w:val="000000"/>
          <w:kern w:val="0"/>
          <w:sz w:val="32"/>
          <w:szCs w:val="32"/>
          <w:shd w:val="clear" w:color="auto" w:fill="FFFFFF"/>
          <w:lang w:val="en-US" w:eastAsia="zh-CN"/>
        </w:rPr>
        <w:t>执行进度</w:t>
      </w:r>
      <w:r>
        <w:rPr>
          <w:rFonts w:hint="eastAsia" w:ascii="仿宋" w:hAnsi="仿宋" w:eastAsia="仿宋" w:cs="仿宋"/>
          <w:color w:val="000000"/>
          <w:kern w:val="0"/>
          <w:sz w:val="32"/>
          <w:szCs w:val="32"/>
          <w:shd w:val="clear" w:color="auto" w:fill="FFFFFF"/>
          <w:lang w:val="en-US" w:eastAsia="zh-CN"/>
        </w:rPr>
        <w:t>情况：预算执行进度在6、9、11月实际支出进度分别达到42%、70%、85%，</w:t>
      </w:r>
      <w:r>
        <w:rPr>
          <w:rFonts w:hint="eastAsia" w:ascii="仿宋" w:hAnsi="仿宋" w:eastAsia="仿宋" w:cs="仿宋"/>
          <w:color w:val="000000"/>
          <w:kern w:val="0"/>
          <w:sz w:val="32"/>
          <w:szCs w:val="32"/>
          <w:shd w:val="clear" w:color="auto" w:fill="FFFFFF"/>
          <w:lang w:val="zh-CN"/>
        </w:rPr>
        <w:t>应得分</w:t>
      </w:r>
      <w:r>
        <w:rPr>
          <w:rFonts w:hint="eastAsia" w:ascii="仿宋" w:hAnsi="仿宋" w:eastAsia="仿宋" w:cs="仿宋"/>
          <w:color w:val="000000"/>
          <w:kern w:val="0"/>
          <w:sz w:val="32"/>
          <w:szCs w:val="32"/>
          <w:shd w:val="clear" w:color="auto" w:fill="FFFFFF"/>
          <w:lang w:val="en-US" w:eastAsia="zh-CN"/>
        </w:rPr>
        <w:t>5分。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lang w:val="zh-CN"/>
        </w:rPr>
        <w:t>预算完成情况</w:t>
      </w:r>
      <w:r>
        <w:rPr>
          <w:rFonts w:hint="eastAsia" w:ascii="仿宋" w:hAnsi="仿宋" w:eastAsia="仿宋" w:cs="仿宋"/>
          <w:color w:val="000000"/>
          <w:kern w:val="0"/>
          <w:sz w:val="32"/>
          <w:szCs w:val="32"/>
          <w:shd w:val="clear" w:color="auto" w:fill="FFFFFF"/>
          <w:lang w:val="en-US" w:eastAsia="zh-CN"/>
        </w:rPr>
        <w:t xml:space="preserve"> ：年初预算1718万，决算1867万，12月预算执行进度达到100%，得5分。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8、资金结余率情况：5个部门预算项目中，4个资金结余率均小于0.1，应得分8分。</w:t>
      </w:r>
    </w:p>
    <w:p>
      <w:pPr>
        <w:adjustRightInd w:val="0"/>
        <w:snapToGrid w:val="0"/>
        <w:spacing w:line="590" w:lineRule="exact"/>
        <w:ind w:firstLine="640" w:firstLineChars="200"/>
        <w:contextualSpacing/>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9、年度审计监督、财政检查无违纪违规问题，</w:t>
      </w:r>
      <w:r>
        <w:rPr>
          <w:rFonts w:hint="eastAsia" w:ascii="仿宋" w:hAnsi="仿宋" w:eastAsia="仿宋" w:cs="仿宋"/>
          <w:color w:val="000000"/>
          <w:kern w:val="0"/>
          <w:sz w:val="32"/>
          <w:szCs w:val="32"/>
          <w:shd w:val="clear" w:color="auto" w:fill="FFFFFF"/>
          <w:lang w:val="zh-CN"/>
        </w:rPr>
        <w:t>应得分</w:t>
      </w:r>
      <w:r>
        <w:rPr>
          <w:rFonts w:hint="eastAsia" w:ascii="仿宋" w:hAnsi="仿宋" w:eastAsia="仿宋" w:cs="仿宋"/>
          <w:color w:val="000000"/>
          <w:kern w:val="0"/>
          <w:sz w:val="32"/>
          <w:szCs w:val="32"/>
          <w:shd w:val="clear" w:color="auto" w:fill="FFFFFF"/>
          <w:lang w:val="en-US" w:eastAsia="zh-CN"/>
        </w:rPr>
        <w:t>5分。</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en-US" w:eastAsia="zh-CN"/>
        </w:rPr>
      </w:pPr>
      <w:r>
        <w:rPr>
          <w:rFonts w:hint="eastAsia" w:ascii="方正楷体_GBK" w:hAnsi="方正楷体_GBK" w:eastAsia="方正楷体_GBK" w:cs="方正楷体_GBK"/>
          <w:b/>
          <w:bCs/>
          <w:color w:val="000000"/>
          <w:kern w:val="0"/>
          <w:sz w:val="33"/>
          <w:szCs w:val="33"/>
          <w:shd w:val="clear" w:color="auto" w:fill="FFFFFF"/>
          <w:lang w:val="zh-CN"/>
        </w:rPr>
        <w:t>（二）项目预算管理，应得分</w:t>
      </w:r>
      <w:r>
        <w:rPr>
          <w:rFonts w:hint="eastAsia" w:ascii="方正楷体_GBK" w:hAnsi="方正楷体_GBK" w:eastAsia="方正楷体_GBK" w:cs="方正楷体_GBK"/>
          <w:b/>
          <w:bCs/>
          <w:color w:val="000000"/>
          <w:kern w:val="0"/>
          <w:sz w:val="33"/>
          <w:szCs w:val="33"/>
          <w:shd w:val="clear" w:color="auto" w:fill="FFFFFF"/>
          <w:lang w:val="en-US" w:eastAsia="zh-CN"/>
        </w:rPr>
        <w:t>20分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zh-CN" w:eastAsia="zh-CN"/>
        </w:rPr>
        <w:t>详见项目自评报告。</w:t>
      </w:r>
    </w:p>
    <w:p>
      <w:pPr>
        <w:adjustRightInd w:val="0"/>
        <w:snapToGrid w:val="0"/>
        <w:spacing w:line="590" w:lineRule="exact"/>
        <w:ind w:firstLine="660" w:firstLineChars="200"/>
        <w:contextualSpacing/>
        <w:rPr>
          <w:rFonts w:hint="default" w:ascii="方正仿宋_GBK" w:hAnsi="宋体" w:eastAsia="方正仿宋_GBK" w:cs="宋体"/>
          <w:color w:val="000000"/>
          <w:kern w:val="0"/>
          <w:sz w:val="33"/>
          <w:szCs w:val="33"/>
          <w:shd w:val="clear" w:color="auto" w:fill="FFFFFF"/>
          <w:lang w:val="en-US" w:eastAsia="zh-CN"/>
        </w:rPr>
      </w:pPr>
      <w:r>
        <w:rPr>
          <w:rFonts w:hint="eastAsia" w:ascii="方正楷体_GBK" w:hAnsi="方正楷体_GBK" w:eastAsia="方正楷体_GBK" w:cs="方正楷体_GBK"/>
          <w:b/>
          <w:bCs/>
          <w:color w:val="000000"/>
          <w:kern w:val="0"/>
          <w:sz w:val="33"/>
          <w:szCs w:val="33"/>
          <w:shd w:val="clear" w:color="auto" w:fill="FFFFFF"/>
          <w:lang w:val="zh-CN"/>
        </w:rPr>
        <w:t>（三）结果应用情况及自评质量，应得分</w:t>
      </w:r>
      <w:r>
        <w:rPr>
          <w:rFonts w:hint="eastAsia" w:ascii="方正楷体_GBK" w:hAnsi="方正楷体_GBK" w:eastAsia="方正楷体_GBK" w:cs="方正楷体_GBK"/>
          <w:b/>
          <w:bCs/>
          <w:color w:val="000000"/>
          <w:kern w:val="0"/>
          <w:sz w:val="33"/>
          <w:szCs w:val="33"/>
          <w:shd w:val="clear" w:color="auto" w:fill="FFFFFF"/>
          <w:lang w:val="en-US" w:eastAsia="zh-CN"/>
        </w:rPr>
        <w:t>25分</w:t>
      </w:r>
    </w:p>
    <w:p>
      <w:pPr>
        <w:adjustRightInd w:val="0"/>
        <w:snapToGrid w:val="0"/>
        <w:spacing w:line="590" w:lineRule="exact"/>
        <w:ind w:firstLine="640" w:firstLineChars="200"/>
        <w:contextualSpacing/>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eastAsia="zh-CN"/>
        </w:rPr>
        <w:t>绩效自评公开，按要求将相关绩效信息随同决算公开，</w:t>
      </w:r>
      <w:r>
        <w:rPr>
          <w:rFonts w:hint="eastAsia" w:ascii="仿宋" w:hAnsi="仿宋" w:eastAsia="仿宋" w:cs="仿宋"/>
          <w:color w:val="000000"/>
          <w:kern w:val="0"/>
          <w:sz w:val="32"/>
          <w:szCs w:val="32"/>
          <w:shd w:val="clear" w:color="auto" w:fill="FFFFFF"/>
          <w:lang w:val="zh-CN"/>
        </w:rPr>
        <w:t>应得分</w:t>
      </w:r>
      <w:r>
        <w:rPr>
          <w:rFonts w:hint="eastAsia" w:ascii="仿宋" w:hAnsi="仿宋" w:eastAsia="仿宋" w:cs="仿宋"/>
          <w:color w:val="000000"/>
          <w:kern w:val="0"/>
          <w:sz w:val="32"/>
          <w:szCs w:val="32"/>
          <w:shd w:val="clear" w:color="auto" w:fill="FFFFFF"/>
          <w:lang w:val="en-US" w:eastAsia="zh-CN"/>
        </w:rPr>
        <w:t>5分。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eastAsia="zh-CN"/>
        </w:rPr>
        <w:t>评价结果整改，绩效管理中，根据实际需要核减项目1个，</w:t>
      </w:r>
      <w:r>
        <w:rPr>
          <w:rFonts w:hint="eastAsia" w:ascii="仿宋" w:hAnsi="仿宋" w:eastAsia="仿宋" w:cs="仿宋"/>
          <w:color w:val="000000"/>
          <w:kern w:val="0"/>
          <w:sz w:val="32"/>
          <w:szCs w:val="32"/>
          <w:shd w:val="clear" w:color="auto" w:fill="FFFFFF"/>
          <w:lang w:val="zh-CN"/>
        </w:rPr>
        <w:t>应得分</w:t>
      </w:r>
      <w:r>
        <w:rPr>
          <w:rFonts w:hint="eastAsia" w:ascii="仿宋" w:hAnsi="仿宋" w:eastAsia="仿宋" w:cs="仿宋"/>
          <w:color w:val="000000"/>
          <w:kern w:val="0"/>
          <w:sz w:val="32"/>
          <w:szCs w:val="32"/>
          <w:shd w:val="clear" w:color="auto" w:fill="FFFFFF"/>
          <w:lang w:val="en-US" w:eastAsia="zh-CN"/>
        </w:rPr>
        <w:t>5分。</w:t>
      </w:r>
    </w:p>
    <w:p>
      <w:pPr>
        <w:adjustRightInd w:val="0"/>
        <w:snapToGrid w:val="0"/>
        <w:spacing w:line="590" w:lineRule="exact"/>
        <w:ind w:firstLine="640" w:firstLineChars="200"/>
        <w:contextualSpacing/>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3、及时向财政部门反馈结果应用情况，应得分5分</w:t>
      </w:r>
    </w:p>
    <w:p>
      <w:pPr>
        <w:adjustRightInd w:val="0"/>
        <w:snapToGrid w:val="0"/>
        <w:spacing w:line="590" w:lineRule="exact"/>
        <w:ind w:firstLine="640" w:firstLineChars="200"/>
        <w:contextualSpacing/>
        <w:rPr>
          <w:rFonts w:hint="default" w:ascii="方正仿宋_GBK" w:hAnsi="宋体" w:eastAsia="方正仿宋_GBK" w:cs="宋体"/>
          <w:color w:val="000000"/>
          <w:kern w:val="0"/>
          <w:sz w:val="33"/>
          <w:szCs w:val="33"/>
          <w:shd w:val="clear" w:color="auto" w:fill="FFFFFF"/>
          <w:lang w:val="en-US"/>
        </w:rPr>
      </w:pPr>
      <w:r>
        <w:rPr>
          <w:rFonts w:hint="eastAsia" w:ascii="仿宋" w:hAnsi="仿宋" w:eastAsia="仿宋" w:cs="仿宋"/>
          <w:color w:val="000000"/>
          <w:kern w:val="0"/>
          <w:sz w:val="32"/>
          <w:szCs w:val="32"/>
          <w:shd w:val="clear" w:color="auto" w:fill="FFFFFF"/>
          <w:lang w:val="en-US" w:eastAsia="zh-CN"/>
        </w:rPr>
        <w:t>4、部门自评准确，应得分10分。</w:t>
      </w:r>
    </w:p>
    <w:p>
      <w:pPr>
        <w:adjustRightInd w:val="0"/>
        <w:snapToGrid w:val="0"/>
        <w:spacing w:line="590" w:lineRule="exact"/>
        <w:ind w:firstLine="660" w:firstLineChars="200"/>
        <w:contextualSpacing/>
        <w:rPr>
          <w:rFonts w:ascii="方正黑体_GBK" w:hAnsi="宋体" w:eastAsia="方正黑体_GBK" w:cs="宋体"/>
          <w:color w:val="000000"/>
          <w:kern w:val="0"/>
          <w:sz w:val="33"/>
          <w:szCs w:val="33"/>
          <w:shd w:val="clear" w:color="auto" w:fill="FFFFFF"/>
        </w:rPr>
      </w:pPr>
      <w:r>
        <w:rPr>
          <w:rFonts w:hint="eastAsia" w:ascii="方正黑体_GBK" w:hAnsi="宋体" w:eastAsia="方正黑体_GBK" w:cs="宋体"/>
          <w:color w:val="000000"/>
          <w:kern w:val="0"/>
          <w:sz w:val="33"/>
          <w:szCs w:val="33"/>
          <w:shd w:val="clear" w:color="auto" w:fill="FFFFFF"/>
        </w:rPr>
        <w:t>四、评价结论及建议</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（一）评价结论</w:t>
      </w:r>
    </w:p>
    <w:p>
      <w:pPr>
        <w:adjustRightInd w:val="0"/>
        <w:snapToGrid w:val="0"/>
        <w:spacing w:line="590" w:lineRule="exact"/>
        <w:ind w:firstLine="640" w:firstLineChars="200"/>
        <w:contextualSpacing/>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项目总分</w:t>
      </w:r>
      <w:r>
        <w:rPr>
          <w:rFonts w:hint="eastAsia" w:ascii="仿宋" w:hAnsi="仿宋" w:eastAsia="仿宋" w:cs="仿宋"/>
          <w:color w:val="000000"/>
          <w:kern w:val="0"/>
          <w:sz w:val="32"/>
          <w:szCs w:val="32"/>
          <w:shd w:val="clear" w:color="auto" w:fill="FFFFFF"/>
          <w:lang w:val="en-US" w:eastAsia="zh-CN"/>
        </w:rPr>
        <w:t>100分，自评得分91.7分。</w:t>
      </w:r>
    </w:p>
    <w:p>
      <w:pPr>
        <w:numPr>
          <w:ilvl w:val="0"/>
          <w:numId w:val="6"/>
        </w:num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存在问题</w:t>
      </w:r>
    </w:p>
    <w:p>
      <w:pPr>
        <w:pStyle w:val="2"/>
        <w:numPr>
          <w:ilvl w:val="0"/>
          <w:numId w:val="0"/>
        </w:numPr>
        <w:rPr>
          <w:rFonts w:hint="eastAsia" w:eastAsia="仿宋_GB2312"/>
          <w:lang w:val="en-US" w:eastAsia="zh-CN"/>
        </w:rPr>
      </w:pPr>
      <w:r>
        <w:rPr>
          <w:rFonts w:hint="eastAsia"/>
          <w:lang w:val="en-US" w:eastAsia="zh-CN"/>
        </w:rPr>
        <w:t xml:space="preserve">    无。</w:t>
      </w:r>
    </w:p>
    <w:p>
      <w:pPr>
        <w:adjustRightInd w:val="0"/>
        <w:snapToGrid w:val="0"/>
        <w:spacing w:line="590" w:lineRule="exact"/>
        <w:ind w:firstLine="660" w:firstLineChars="200"/>
        <w:contextualSpacing/>
        <w:rPr>
          <w:rFonts w:hint="eastAsia"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（三）改进建议</w:t>
      </w:r>
    </w:p>
    <w:p>
      <w:pPr>
        <w:spacing w:line="590" w:lineRule="exact"/>
        <w:ind w:firstLine="640" w:firstLineChars="200"/>
        <w:jc w:val="left"/>
        <w:rPr>
          <w:rFonts w:hint="eastAsia" w:ascii="Times New Roman" w:hAnsi="Times New Roman" w:eastAsia="方正仿宋_GBK"/>
          <w:sz w:val="33"/>
          <w:szCs w:val="33"/>
          <w:lang w:eastAsia="zh-CN"/>
        </w:rPr>
      </w:pPr>
      <w:r>
        <w:rPr>
          <w:rFonts w:hint="eastAsia" w:ascii="仿宋" w:hAnsi="仿宋" w:eastAsia="仿宋"/>
          <w:sz w:val="32"/>
          <w:szCs w:val="32"/>
          <w:lang w:eastAsia="zh-CN"/>
        </w:rPr>
        <w:t>无。</w:t>
      </w:r>
    </w:p>
    <w:p>
      <w:pPr>
        <w:numPr>
          <w:ilvl w:val="0"/>
          <w:numId w:val="0"/>
        </w:numPr>
        <w:adjustRightInd w:val="0"/>
        <w:snapToGrid w:val="0"/>
        <w:spacing w:line="590" w:lineRule="exact"/>
        <w:ind w:left="825" w:leftChars="0"/>
        <w:contextualSpacing/>
        <w:rPr>
          <w:rFonts w:hint="eastAsia" w:ascii="仿宋" w:hAnsi="仿宋" w:eastAsia="仿宋" w:cs="仿宋"/>
          <w:color w:val="000000"/>
          <w:kern w:val="0"/>
          <w:sz w:val="32"/>
          <w:szCs w:val="32"/>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spacing w:line="600" w:lineRule="exact"/>
        <w:ind w:firstLine="660" w:firstLineChars="200"/>
        <w:jc w:val="center"/>
        <w:rPr>
          <w:rFonts w:eastAsia="方正仿宋_GBK"/>
          <w:sz w:val="33"/>
          <w:szCs w:val="33"/>
        </w:rPr>
      </w:pPr>
      <w:r>
        <w:rPr>
          <w:rFonts w:hint="eastAsia" w:eastAsia="方正仿宋_GBK"/>
          <w:sz w:val="33"/>
          <w:szCs w:val="33"/>
        </w:rPr>
        <w:t>（</w:t>
      </w:r>
      <w:r>
        <w:rPr>
          <w:rFonts w:hint="eastAsia" w:eastAsia="方正仿宋_GBK"/>
          <w:sz w:val="33"/>
          <w:szCs w:val="33"/>
          <w:lang w:val="en-US" w:eastAsia="zh-CN"/>
        </w:rPr>
        <w:t>2020年度司法改革绩效</w:t>
      </w:r>
      <w:r>
        <w:rPr>
          <w:rFonts w:hint="eastAsia" w:eastAsia="方正仿宋_GBK"/>
          <w:sz w:val="33"/>
          <w:szCs w:val="33"/>
        </w:rPr>
        <w:t>项目）</w:t>
      </w:r>
    </w:p>
    <w:p>
      <w:pPr>
        <w:adjustRightInd w:val="0"/>
        <w:snapToGrid w:val="0"/>
        <w:spacing w:line="600" w:lineRule="exact"/>
        <w:ind w:firstLine="330" w:firstLineChars="1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．说明项目主管部门（单位）在该项目管理中的职能。</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深入推进司法责任制改革，合理设置司法改革绩效考核指标，绩效考核奖金分配坚持公平公正、合理合规的原则，主要体现工作实绩和贡献，充分发挥奖金的激励作用。</w:t>
      </w:r>
    </w:p>
    <w:p>
      <w:pPr>
        <w:numPr>
          <w:ilvl w:val="0"/>
          <w:numId w:val="7"/>
        </w:numPr>
        <w:adjustRightInd w:val="0"/>
        <w:snapToGrid w:val="0"/>
        <w:spacing w:line="600" w:lineRule="exact"/>
        <w:ind w:left="180" w:leftChars="0" w:firstLine="660" w:firstLineChars="0"/>
        <w:rPr>
          <w:rFonts w:hint="eastAsia" w:eastAsia="方正仿宋_GBK"/>
          <w:sz w:val="33"/>
          <w:szCs w:val="33"/>
          <w:lang w:val="zh-CN"/>
        </w:rPr>
      </w:pPr>
      <w:r>
        <w:rPr>
          <w:rFonts w:hint="eastAsia" w:eastAsia="方正仿宋_GBK"/>
          <w:sz w:val="33"/>
          <w:szCs w:val="33"/>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广安市委组织部广组通【2020】56号文件。</w:t>
      </w:r>
    </w:p>
    <w:p>
      <w:pPr>
        <w:numPr>
          <w:ilvl w:val="0"/>
          <w:numId w:val="7"/>
        </w:numPr>
        <w:adjustRightInd w:val="0"/>
        <w:snapToGrid w:val="0"/>
        <w:spacing w:line="600" w:lineRule="exact"/>
        <w:ind w:left="180" w:leftChars="0" w:firstLine="660" w:firstLineChars="0"/>
        <w:rPr>
          <w:rFonts w:hint="eastAsia" w:eastAsia="方正仿宋_GBK"/>
          <w:sz w:val="33"/>
          <w:szCs w:val="33"/>
          <w:lang w:val="zh-CN"/>
        </w:rPr>
      </w:pPr>
      <w:r>
        <w:rPr>
          <w:rFonts w:hint="eastAsia" w:eastAsia="方正仿宋_GBK"/>
          <w:sz w:val="33"/>
          <w:szCs w:val="33"/>
          <w:lang w:val="zh-CN"/>
        </w:rPr>
        <w:t>资金管理办法制定情况，资金支持具体项目的条件、范围与支持方式概况。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2019年以</w:t>
      </w:r>
      <w:r>
        <w:rPr>
          <w:rFonts w:hint="eastAsia" w:ascii="仿宋" w:hAnsi="仿宋" w:eastAsia="仿宋" w:cs="仿宋"/>
          <w:sz w:val="32"/>
          <w:szCs w:val="32"/>
          <w:lang w:val="zh-CN"/>
        </w:rPr>
        <w:t>邻检发【2019】10号《关于印发检察官、检察辅助人员业绩考核及奖金分配办法（试行）》的通知》规范该项目资金使用，做到有章可循。</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4</w:t>
      </w:r>
      <w:r>
        <w:rPr>
          <w:rFonts w:hint="eastAsia" w:eastAsia="方正仿宋_GBK"/>
          <w:sz w:val="33"/>
          <w:szCs w:val="33"/>
          <w:lang w:val="zh-CN"/>
        </w:rPr>
        <w:t>．资金分配的原则及考虑因素。</w:t>
      </w:r>
    </w:p>
    <w:p>
      <w:pPr>
        <w:adjustRightInd w:val="0"/>
        <w:snapToGrid w:val="0"/>
        <w:spacing w:line="600" w:lineRule="exact"/>
        <w:ind w:firstLine="660"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（二）项目绩效目标</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．项目主要内容</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根据司法改革绩效考核结果支付资金，起到奖勤罚懒的督促引导作用，确保党中央的决策部署切实落实。</w:t>
      </w:r>
    </w:p>
    <w:p>
      <w:pPr>
        <w:numPr>
          <w:ilvl w:val="0"/>
          <w:numId w:val="0"/>
        </w:numPr>
        <w:adjustRightInd w:val="0"/>
        <w:snapToGrid w:val="0"/>
        <w:spacing w:line="600" w:lineRule="exact"/>
        <w:ind w:left="840" w:leftChars="0"/>
        <w:rPr>
          <w:rFonts w:hint="eastAsia" w:eastAsia="方正仿宋_GBK"/>
          <w:sz w:val="33"/>
          <w:szCs w:val="33"/>
          <w:lang w:val="zh-CN"/>
        </w:rPr>
      </w:pPr>
      <w:r>
        <w:rPr>
          <w:rFonts w:hint="eastAsia" w:eastAsia="方正仿宋_GBK"/>
          <w:sz w:val="33"/>
          <w:szCs w:val="33"/>
          <w:lang w:val="en-US" w:eastAsia="zh-CN"/>
        </w:rPr>
        <w:t>2.</w:t>
      </w:r>
      <w:r>
        <w:rPr>
          <w:rFonts w:hint="eastAsia" w:eastAsia="方正仿宋_GBK"/>
          <w:sz w:val="33"/>
          <w:szCs w:val="33"/>
          <w:lang w:val="zh-CN"/>
        </w:rPr>
        <w:t>项目应实现的具体绩效目标，包括目标的量化、细化情况以及项目实施进度计划等。</w:t>
      </w:r>
    </w:p>
    <w:p>
      <w:pPr>
        <w:numPr>
          <w:ilvl w:val="0"/>
          <w:numId w:val="0"/>
        </w:numPr>
        <w:adjustRightInd w:val="0"/>
        <w:snapToGrid w:val="0"/>
        <w:spacing w:line="600" w:lineRule="exact"/>
        <w:ind w:leftChars="200" w:firstLine="330" w:firstLineChars="100"/>
        <w:rPr>
          <w:rFonts w:hint="default" w:eastAsia="仿宋"/>
          <w:sz w:val="33"/>
          <w:szCs w:val="33"/>
          <w:lang w:val="en-US" w:eastAsia="zh-CN"/>
        </w:rPr>
      </w:pPr>
      <w:r>
        <w:rPr>
          <w:rFonts w:hint="eastAsia" w:eastAsia="方正仿宋_GBK"/>
          <w:sz w:val="33"/>
          <w:szCs w:val="33"/>
          <w:lang w:val="zh-CN"/>
        </w:rPr>
        <w:t>涉及支付</w:t>
      </w:r>
      <w:r>
        <w:rPr>
          <w:rFonts w:hint="eastAsia" w:eastAsia="方正仿宋_GBK"/>
          <w:sz w:val="33"/>
          <w:szCs w:val="33"/>
          <w:lang w:val="en-US" w:eastAsia="zh-CN"/>
        </w:rPr>
        <w:t>53名检察人员司法改革绩效，资</w:t>
      </w:r>
      <w:r>
        <w:rPr>
          <w:rFonts w:hint="eastAsia" w:ascii="仿宋" w:hAnsi="仿宋" w:eastAsia="仿宋" w:cs="仿宋"/>
          <w:sz w:val="32"/>
          <w:szCs w:val="32"/>
          <w:lang w:val="en-US" w:eastAsia="zh-CN"/>
        </w:rPr>
        <w:t>金支付完全合规。</w:t>
      </w:r>
    </w:p>
    <w:p>
      <w:pPr>
        <w:numPr>
          <w:ilvl w:val="0"/>
          <w:numId w:val="0"/>
        </w:numPr>
        <w:adjustRightInd w:val="0"/>
        <w:snapToGrid w:val="0"/>
        <w:spacing w:line="600" w:lineRule="exact"/>
        <w:ind w:left="840" w:leftChars="0"/>
        <w:rPr>
          <w:rFonts w:hint="eastAsia" w:eastAsia="方正仿宋_GBK"/>
          <w:sz w:val="33"/>
          <w:szCs w:val="33"/>
          <w:lang w:val="zh-CN"/>
        </w:rPr>
      </w:pPr>
      <w:r>
        <w:rPr>
          <w:rFonts w:hint="eastAsia" w:eastAsia="方正仿宋_GBK"/>
          <w:sz w:val="33"/>
          <w:szCs w:val="33"/>
          <w:lang w:val="en-US" w:eastAsia="zh-CN"/>
        </w:rPr>
        <w:t>3.</w:t>
      </w:r>
      <w:r>
        <w:rPr>
          <w:rFonts w:hint="eastAsia" w:eastAsia="方正仿宋_GBK"/>
          <w:sz w:val="33"/>
          <w:szCs w:val="33"/>
          <w:lang w:val="zh-CN"/>
        </w:rPr>
        <w:t>分析评价申报内容是否与实际相符，申报目标是否合理可行。</w:t>
      </w:r>
    </w:p>
    <w:p>
      <w:pPr>
        <w:numPr>
          <w:ilvl w:val="0"/>
          <w:numId w:val="0"/>
        </w:numPr>
        <w:adjustRightInd w:val="0"/>
        <w:snapToGrid w:val="0"/>
        <w:spacing w:line="600" w:lineRule="exact"/>
        <w:ind w:leftChars="200"/>
        <w:rPr>
          <w:rFonts w:hint="eastAsia" w:ascii="仿宋" w:hAnsi="仿宋" w:eastAsia="仿宋" w:cs="仿宋"/>
          <w:sz w:val="32"/>
          <w:szCs w:val="32"/>
          <w:lang w:val="zh-CN"/>
        </w:rPr>
      </w:pPr>
      <w:r>
        <w:rPr>
          <w:rFonts w:hint="eastAsia" w:ascii="仿宋" w:hAnsi="仿宋" w:eastAsia="仿宋" w:cs="仿宋"/>
          <w:sz w:val="32"/>
          <w:szCs w:val="32"/>
          <w:lang w:val="zh-CN"/>
        </w:rPr>
        <w:t>申报内容与实际相符，申报目标合理可行。</w:t>
      </w:r>
    </w:p>
    <w:p>
      <w:pPr>
        <w:adjustRightInd w:val="0"/>
        <w:snapToGrid w:val="0"/>
        <w:spacing w:line="600" w:lineRule="exact"/>
        <w:ind w:firstLine="330" w:firstLineChars="1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说明项目绩效自评采用的组织实施步骤及方法。</w:t>
      </w:r>
    </w:p>
    <w:p>
      <w:pPr>
        <w:adjustRightInd w:val="0"/>
        <w:snapToGrid w:val="0"/>
        <w:spacing w:line="600" w:lineRule="exact"/>
        <w:ind w:firstLine="640" w:firstLineChars="200"/>
        <w:rPr>
          <w:rFonts w:hint="default" w:eastAsia="仿宋"/>
          <w:sz w:val="33"/>
          <w:szCs w:val="33"/>
          <w:lang w:val="en-US" w:eastAsia="zh-CN"/>
        </w:rPr>
      </w:pPr>
      <w:r>
        <w:rPr>
          <w:rFonts w:hint="eastAsia" w:ascii="仿宋" w:hAnsi="仿宋" w:eastAsia="仿宋" w:cs="仿宋"/>
          <w:sz w:val="32"/>
          <w:szCs w:val="32"/>
          <w:lang w:val="zh-CN"/>
        </w:rPr>
        <w:t>本次绩效自评由办公室统一组织，涉及相关的绩效指标完成情况由综合业务部、政治部、提供，数据来源为</w:t>
      </w:r>
      <w:r>
        <w:rPr>
          <w:rFonts w:hint="eastAsia" w:ascii="仿宋" w:hAnsi="仿宋" w:eastAsia="仿宋" w:cs="仿宋"/>
          <w:sz w:val="32"/>
          <w:szCs w:val="32"/>
          <w:lang w:val="en-US" w:eastAsia="zh-CN"/>
        </w:rPr>
        <w:t>2020年绩效考核结果。</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说明项目资金申报、批复及预算调整等程序的相关情况。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由于2020年未能支付2020年司法改革绩效，将</w:t>
      </w:r>
      <w:r>
        <w:rPr>
          <w:rFonts w:hint="eastAsia" w:ascii="仿宋" w:hAnsi="仿宋" w:eastAsia="仿宋" w:cs="仿宋"/>
          <w:sz w:val="32"/>
          <w:szCs w:val="32"/>
          <w:lang w:val="zh-CN"/>
        </w:rPr>
        <w:t>该项目作为</w:t>
      </w:r>
      <w:r>
        <w:rPr>
          <w:rFonts w:hint="eastAsia" w:ascii="仿宋" w:hAnsi="仿宋" w:eastAsia="仿宋" w:cs="仿宋"/>
          <w:sz w:val="32"/>
          <w:szCs w:val="32"/>
          <w:lang w:val="en-US" w:eastAsia="zh-CN"/>
        </w:rPr>
        <w:t>2021年年初预算项目，金额1151992元，县财政2021年5月全部批复预算并下达预算指标。</w:t>
      </w:r>
    </w:p>
    <w:p>
      <w:pPr>
        <w:adjustRightInd w:val="0"/>
        <w:snapToGrid w:val="0"/>
        <w:spacing w:line="600" w:lineRule="exact"/>
        <w:ind w:firstLine="330" w:firstLineChars="100"/>
        <w:rPr>
          <w:rFonts w:eastAsia="方正楷体_GBK"/>
          <w:sz w:val="33"/>
          <w:szCs w:val="33"/>
          <w:lang w:val="zh-CN"/>
        </w:rPr>
      </w:pPr>
      <w:r>
        <w:rPr>
          <w:rFonts w:hint="eastAsia" w:eastAsia="方正楷体_GBK"/>
          <w:b/>
          <w:sz w:val="33"/>
          <w:szCs w:val="33"/>
          <w:lang w:val="zh-CN"/>
        </w:rPr>
        <w:t>（二）资金计划、到位及使用情况</w:t>
      </w:r>
    </w:p>
    <w:p>
      <w:pPr>
        <w:adjustRightInd w:val="0"/>
        <w:snapToGrid w:val="0"/>
        <w:spacing w:line="600" w:lineRule="exact"/>
        <w:ind w:firstLine="660" w:firstLineChars="200"/>
        <w:rPr>
          <w:rFonts w:hint="eastAsia" w:ascii="仿宋" w:hAnsi="仿宋" w:eastAsia="仿宋" w:cs="仿宋"/>
          <w:sz w:val="32"/>
          <w:szCs w:val="32"/>
          <w:lang w:val="en-US" w:eastAsia="zh-CN"/>
        </w:rPr>
      </w:pPr>
      <w:r>
        <w:rPr>
          <w:rFonts w:eastAsia="方正仿宋_GBK"/>
          <w:sz w:val="33"/>
          <w:szCs w:val="33"/>
          <w:lang w:val="zh-CN"/>
        </w:rPr>
        <w:t>1</w:t>
      </w:r>
      <w:r>
        <w:rPr>
          <w:rFonts w:hint="eastAsia" w:eastAsia="方正仿宋_GBK"/>
          <w:sz w:val="33"/>
          <w:szCs w:val="33"/>
          <w:lang w:val="zh-CN"/>
        </w:rPr>
        <w:t>．资金计划。</w:t>
      </w:r>
      <w:r>
        <w:rPr>
          <w:rFonts w:hint="eastAsia" w:ascii="仿宋" w:hAnsi="仿宋" w:eastAsia="仿宋" w:cs="仿宋"/>
          <w:sz w:val="32"/>
          <w:szCs w:val="32"/>
          <w:lang w:val="en-US" w:eastAsia="zh-CN"/>
        </w:rPr>
        <w:t>该项目为2021年年初预算非税列支项目，须用邻水县人民检察院在办案中解缴的非税返还列支。</w:t>
      </w:r>
    </w:p>
    <w:p>
      <w:pPr>
        <w:adjustRightInd w:val="0"/>
        <w:snapToGrid w:val="0"/>
        <w:spacing w:line="600" w:lineRule="exact"/>
        <w:ind w:firstLine="660" w:firstLineChars="200"/>
        <w:rPr>
          <w:rFonts w:hint="eastAsia" w:ascii="仿宋" w:hAnsi="仿宋" w:eastAsia="仿宋" w:cs="仿宋"/>
          <w:sz w:val="32"/>
          <w:szCs w:val="32"/>
          <w:lang w:val="en-US" w:eastAsia="zh-CN"/>
        </w:rPr>
      </w:pPr>
      <w:r>
        <w:rPr>
          <w:rFonts w:eastAsia="方正仿宋_GBK"/>
          <w:sz w:val="33"/>
          <w:szCs w:val="33"/>
          <w:lang w:val="zh-CN"/>
        </w:rPr>
        <w:t>2</w:t>
      </w:r>
      <w:r>
        <w:rPr>
          <w:rFonts w:hint="eastAsia" w:eastAsia="方正仿宋_GBK"/>
          <w:sz w:val="33"/>
          <w:szCs w:val="33"/>
          <w:lang w:val="zh-CN"/>
        </w:rPr>
        <w:t>．资金到位。</w:t>
      </w:r>
      <w:r>
        <w:rPr>
          <w:rFonts w:hint="eastAsia" w:ascii="仿宋" w:hAnsi="仿宋" w:eastAsia="仿宋" w:cs="仿宋"/>
          <w:sz w:val="32"/>
          <w:szCs w:val="32"/>
          <w:lang w:val="en-US" w:eastAsia="zh-CN"/>
        </w:rPr>
        <w:t>2021年5月，该项目资金由县财政全部上大平台用款指标。</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3</w:t>
      </w:r>
      <w:r>
        <w:rPr>
          <w:rFonts w:hint="eastAsia" w:eastAsia="方正仿宋_GBK"/>
          <w:sz w:val="33"/>
          <w:szCs w:val="33"/>
          <w:lang w:val="zh-CN"/>
        </w:rPr>
        <w:t>．资金使用。</w:t>
      </w:r>
    </w:p>
    <w:p>
      <w:pPr>
        <w:adjustRightInd w:val="0"/>
        <w:snapToGrid w:val="0"/>
        <w:spacing w:line="600" w:lineRule="exact"/>
        <w:ind w:firstLine="640" w:firstLineChars="200"/>
        <w:rPr>
          <w:rFonts w:eastAsia="方正楷体_GBK"/>
          <w:b/>
          <w:sz w:val="33"/>
          <w:szCs w:val="33"/>
          <w:lang w:val="zh-CN"/>
        </w:rPr>
      </w:pPr>
      <w:r>
        <w:rPr>
          <w:rFonts w:hint="eastAsia" w:ascii="仿宋" w:hAnsi="仿宋" w:eastAsia="仿宋" w:cs="仿宋"/>
          <w:sz w:val="32"/>
          <w:szCs w:val="32"/>
          <w:lang w:val="zh-CN"/>
        </w:rPr>
        <w:t>参与业绩考核的人员根据考核细则自查得分并提供佐证资料，考核办资料收齐后进行核实，业绩考核得分汇总后提交党组审议并进行公示，确定考核等次进行奖金分配。截止评价时点该项目已到位资金已按规定支出</w:t>
      </w:r>
      <w:r>
        <w:rPr>
          <w:rFonts w:hint="eastAsia" w:ascii="仿宋" w:hAnsi="仿宋" w:eastAsia="仿宋" w:cs="仿宋"/>
          <w:sz w:val="32"/>
          <w:szCs w:val="32"/>
          <w:lang w:val="en-US" w:eastAsia="zh-CN"/>
        </w:rPr>
        <w:t>114.7992万元。</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adjustRightInd w:val="0"/>
        <w:snapToGrid w:val="0"/>
        <w:spacing w:line="600" w:lineRule="exact"/>
        <w:ind w:firstLine="660" w:firstLineChars="200"/>
        <w:rPr>
          <w:rFonts w:hint="eastAsia" w:eastAsia="方正楷体_GBK"/>
          <w:b/>
          <w:sz w:val="33"/>
          <w:szCs w:val="33"/>
          <w:lang w:val="zh-CN"/>
        </w:rPr>
      </w:pPr>
      <w:r>
        <w:rPr>
          <w:rFonts w:hint="eastAsia" w:eastAsia="方正楷体_GBK"/>
          <w:b/>
          <w:sz w:val="33"/>
          <w:szCs w:val="33"/>
          <w:lang w:val="zh-CN"/>
        </w:rPr>
        <w:t>（一）项目组织架构及实施流程</w:t>
      </w:r>
    </w:p>
    <w:p>
      <w:p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b w:val="0"/>
          <w:bCs/>
          <w:sz w:val="32"/>
          <w:szCs w:val="32"/>
          <w:lang w:val="zh-CN"/>
        </w:rPr>
        <w:t>项目成立了邻水县人民检察院司法绩效考核实施领导小组，由检察长任组长，分管办公室及综合业务部的副检察长为副组长，领导小组下设办公室于综合业务部。业绩考评时，参</w:t>
      </w:r>
      <w:r>
        <w:rPr>
          <w:rFonts w:hint="eastAsia" w:ascii="仿宋" w:hAnsi="仿宋" w:eastAsia="仿宋" w:cs="仿宋"/>
          <w:sz w:val="32"/>
          <w:szCs w:val="32"/>
          <w:lang w:val="zh-CN"/>
        </w:rPr>
        <w:t>与业绩考核的人员根据考核细则自查得分并提供佐证资料，考核办资料收齐后进行核实，业绩考核得分汇总后提交党组审议并进行公示，确定考核等次进行奖金分配</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40" w:firstLineChars="200"/>
        <w:rPr>
          <w:rFonts w:eastAsia="方正仿宋_GBK"/>
          <w:sz w:val="33"/>
          <w:szCs w:val="33"/>
          <w:lang w:val="zh-CN"/>
        </w:rPr>
      </w:pPr>
      <w:r>
        <w:rPr>
          <w:rFonts w:hint="eastAsia" w:ascii="仿宋" w:hAnsi="仿宋" w:eastAsia="仿宋" w:cs="仿宋"/>
          <w:sz w:val="32"/>
          <w:szCs w:val="32"/>
          <w:lang w:val="zh-CN"/>
        </w:rPr>
        <w:t>对项目实施的具体情况进行了定期及不定期监督，确保项目实施规范，无违规违纪情况</w:t>
      </w:r>
      <w:r>
        <w:rPr>
          <w:rFonts w:hint="eastAsia" w:eastAsia="方正仿宋_GBK"/>
          <w:sz w:val="33"/>
          <w:szCs w:val="33"/>
          <w:lang w:val="zh-CN"/>
        </w:rPr>
        <w:t>。</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项目各项数量、质量、时效、成本等各项指标都按申报目标的要求全面完成。</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从项目经济效益、社会效益、可持续效益明显。</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0" w:firstLineChars="200"/>
        <w:rPr>
          <w:rFonts w:hint="eastAsia"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项目各项数量、质量、时效、成本等各项指标都按申报目标的要求全面完成。</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（三）相关建议</w:t>
      </w:r>
    </w:p>
    <w:p/>
    <w:p>
      <w:pP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无。</w:t>
      </w:r>
    </w:p>
    <w:p>
      <w:pPr>
        <w:pStyle w:val="8"/>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pStyle w:val="33"/>
        <w:spacing w:line="600" w:lineRule="exact"/>
        <w:jc w:val="center"/>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eastAsia="仿宋_GB2312"/>
          <w:color w:val="auto"/>
          <w:highlight w:val="none"/>
          <w:lang w:val="en-US" w:eastAsia="zh-CN"/>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800" w:firstLineChars="200"/>
        <w:jc w:val="both"/>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pStyle w:val="8"/>
        <w:rPr>
          <w:rFonts w:hint="eastAsia"/>
          <w:lang w:val="zh-CN" w:eastAsia="zh-CN"/>
        </w:rPr>
      </w:pPr>
    </w:p>
    <w:p>
      <w:pPr>
        <w:spacing w:line="600" w:lineRule="exact"/>
        <w:ind w:firstLine="660" w:firstLineChars="200"/>
        <w:jc w:val="center"/>
        <w:rPr>
          <w:rFonts w:eastAsia="方正仿宋_GBK"/>
          <w:sz w:val="33"/>
          <w:szCs w:val="33"/>
        </w:rPr>
      </w:pPr>
      <w:r>
        <w:rPr>
          <w:rFonts w:hint="eastAsia" w:eastAsia="方正仿宋_GBK"/>
          <w:sz w:val="33"/>
          <w:szCs w:val="33"/>
        </w:rPr>
        <w:t>（</w:t>
      </w:r>
      <w:r>
        <w:rPr>
          <w:rFonts w:hint="eastAsia" w:eastAsia="方正仿宋_GBK"/>
          <w:sz w:val="33"/>
          <w:szCs w:val="33"/>
          <w:lang w:eastAsia="zh-CN"/>
        </w:rPr>
        <w:t>办案经费</w:t>
      </w:r>
      <w:r>
        <w:rPr>
          <w:rFonts w:hint="eastAsia" w:eastAsia="方正仿宋_GBK"/>
          <w:sz w:val="33"/>
          <w:szCs w:val="33"/>
        </w:rPr>
        <w:t>项目）</w:t>
      </w:r>
    </w:p>
    <w:p>
      <w:pPr>
        <w:pStyle w:val="33"/>
        <w:spacing w:line="590" w:lineRule="exact"/>
        <w:ind w:firstLine="660" w:firstLineChars="200"/>
        <w:jc w:val="center"/>
        <w:rPr>
          <w:rFonts w:ascii="Times New Roman" w:hAnsi="Times New Roman" w:eastAsia="方正仿宋_GBK"/>
          <w:color w:val="auto"/>
          <w:kern w:val="2"/>
          <w:sz w:val="33"/>
          <w:szCs w:val="33"/>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．邻水县人民检察院的办案职能。</w:t>
      </w:r>
    </w:p>
    <w:p>
      <w:pPr>
        <w:pStyle w:val="32"/>
        <w:ind w:firstLine="640"/>
        <w:rPr>
          <w:rFonts w:hint="eastAsia" w:ascii="仿宋" w:hAnsi="仿宋" w:eastAsia="仿宋" w:cs="仿宋"/>
          <w:sz w:val="32"/>
          <w:lang w:eastAsia="zh-CN"/>
        </w:rPr>
      </w:pPr>
      <w:r>
        <w:rPr>
          <w:rFonts w:hint="eastAsia" w:ascii="仿宋" w:hAnsi="仿宋" w:eastAsia="仿宋" w:cs="仿宋"/>
          <w:color w:val="000000"/>
          <w:sz w:val="32"/>
        </w:rPr>
        <w:t>邻水</w:t>
      </w:r>
      <w:r>
        <w:rPr>
          <w:rFonts w:hint="eastAsia" w:ascii="仿宋" w:hAnsi="仿宋" w:eastAsia="仿宋" w:cs="仿宋"/>
          <w:sz w:val="32"/>
        </w:rPr>
        <w:t>县人民检察院是国家的法律监督机关，主要任务是根据宪法和法律，依法履行法律监督职能，保证国家法律的统一和正确实施。</w:t>
      </w:r>
      <w:r>
        <w:rPr>
          <w:rFonts w:hint="eastAsia" w:ascii="仿宋" w:hAnsi="仿宋" w:eastAsia="仿宋" w:cs="仿宋"/>
          <w:sz w:val="32"/>
          <w:lang w:eastAsia="zh-CN"/>
        </w:rPr>
        <w:t>主要办理以下几类案件：</w:t>
      </w:r>
    </w:p>
    <w:p>
      <w:pPr>
        <w:pStyle w:val="32"/>
        <w:ind w:firstLine="640"/>
        <w:rPr>
          <w:rFonts w:hint="eastAsia" w:ascii="仿宋" w:hAnsi="仿宋" w:eastAsia="仿宋" w:cs="仿宋"/>
          <w:sz w:val="32"/>
          <w:lang w:eastAsia="zh-CN"/>
        </w:rPr>
      </w:pPr>
      <w:r>
        <w:rPr>
          <w:rFonts w:hint="eastAsia" w:ascii="仿宋" w:hAnsi="仿宋" w:eastAsia="仿宋" w:cs="仿宋"/>
          <w:sz w:val="32"/>
          <w:lang w:eastAsia="zh-CN"/>
        </w:rPr>
        <w:t>控告、申诉、举报案件；</w:t>
      </w:r>
    </w:p>
    <w:p>
      <w:pPr>
        <w:pStyle w:val="32"/>
        <w:ind w:firstLine="640"/>
        <w:rPr>
          <w:rFonts w:hint="eastAsia" w:ascii="仿宋" w:hAnsi="仿宋" w:eastAsia="仿宋" w:cs="仿宋"/>
          <w:sz w:val="32"/>
          <w:lang w:eastAsia="zh-CN"/>
        </w:rPr>
      </w:pPr>
      <w:r>
        <w:rPr>
          <w:rFonts w:hint="eastAsia" w:ascii="仿宋" w:hAnsi="仿宋" w:eastAsia="仿宋" w:cs="仿宋"/>
          <w:sz w:val="32"/>
        </w:rPr>
        <w:t>国家机关工作人员利用职权实施的侵犯公民人身权利与侵犯公民民主权利的犯罪案件</w:t>
      </w:r>
      <w:r>
        <w:rPr>
          <w:rFonts w:hint="eastAsia" w:ascii="仿宋" w:hAnsi="仿宋" w:eastAsia="仿宋" w:cs="仿宋"/>
          <w:sz w:val="32"/>
          <w:lang w:eastAsia="zh-CN"/>
        </w:rPr>
        <w:t>；</w:t>
      </w:r>
    </w:p>
    <w:p>
      <w:pPr>
        <w:pStyle w:val="32"/>
        <w:ind w:firstLine="640"/>
        <w:rPr>
          <w:rFonts w:hint="eastAsia" w:ascii="仿宋" w:hAnsi="仿宋" w:eastAsia="仿宋" w:cs="仿宋"/>
          <w:sz w:val="32"/>
          <w:lang w:eastAsia="zh-CN"/>
        </w:rPr>
      </w:pPr>
      <w:r>
        <w:rPr>
          <w:rFonts w:hint="eastAsia" w:ascii="仿宋" w:hAnsi="仿宋" w:eastAsia="仿宋" w:cs="仿宋"/>
          <w:sz w:val="32"/>
        </w:rPr>
        <w:t>国家机关工作人员利用职权实施的其他重大犯罪案件</w:t>
      </w:r>
      <w:r>
        <w:rPr>
          <w:rFonts w:hint="eastAsia" w:ascii="仿宋" w:hAnsi="仿宋" w:eastAsia="仿宋" w:cs="仿宋"/>
          <w:sz w:val="32"/>
          <w:lang w:eastAsia="zh-CN"/>
        </w:rPr>
        <w:t>；</w:t>
      </w:r>
    </w:p>
    <w:p>
      <w:pPr>
        <w:pStyle w:val="32"/>
        <w:ind w:firstLine="640"/>
        <w:rPr>
          <w:rFonts w:hint="eastAsia" w:ascii="仿宋" w:hAnsi="仿宋" w:eastAsia="仿宋" w:cs="仿宋"/>
          <w:sz w:val="32"/>
          <w:lang w:eastAsia="zh-CN"/>
        </w:rPr>
      </w:pPr>
      <w:r>
        <w:rPr>
          <w:rFonts w:hint="eastAsia" w:ascii="仿宋" w:hAnsi="仿宋" w:eastAsia="仿宋" w:cs="仿宋"/>
          <w:sz w:val="32"/>
          <w:lang w:eastAsia="zh-CN"/>
        </w:rPr>
        <w:t>刑事犯罪案件的审查逮捕及审查起诉；</w:t>
      </w:r>
    </w:p>
    <w:p>
      <w:pPr>
        <w:pStyle w:val="32"/>
        <w:ind w:firstLine="640"/>
        <w:rPr>
          <w:rFonts w:hint="eastAsia" w:ascii="仿宋" w:hAnsi="仿宋" w:eastAsia="仿宋" w:cs="仿宋"/>
          <w:sz w:val="32"/>
          <w:lang w:eastAsia="zh-CN"/>
        </w:rPr>
      </w:pPr>
      <w:r>
        <w:rPr>
          <w:rFonts w:hint="eastAsia" w:ascii="仿宋" w:hAnsi="仿宋" w:eastAsia="仿宋" w:cs="仿宋"/>
          <w:sz w:val="32"/>
        </w:rPr>
        <w:t>对刑事诉讼、民事（经济）审判和行政诉讼实行法律监督</w:t>
      </w:r>
      <w:r>
        <w:rPr>
          <w:rFonts w:hint="eastAsia" w:ascii="仿宋" w:hAnsi="仿宋" w:eastAsia="仿宋" w:cs="仿宋"/>
          <w:sz w:val="32"/>
          <w:lang w:eastAsia="zh-CN"/>
        </w:rPr>
        <w:t>；</w:t>
      </w:r>
    </w:p>
    <w:p>
      <w:pPr>
        <w:pStyle w:val="32"/>
        <w:ind w:firstLine="640"/>
        <w:rPr>
          <w:rFonts w:hint="eastAsia" w:ascii="仿宋" w:hAnsi="仿宋" w:eastAsia="仿宋" w:cs="仿宋"/>
          <w:sz w:val="32"/>
          <w:lang w:eastAsia="zh-CN"/>
        </w:rPr>
      </w:pPr>
      <w:r>
        <w:rPr>
          <w:rFonts w:hint="eastAsia" w:ascii="仿宋" w:hAnsi="仿宋" w:eastAsia="仿宋" w:cs="仿宋"/>
          <w:sz w:val="32"/>
          <w:lang w:eastAsia="zh-CN"/>
        </w:rPr>
        <w:t>刑事及民事抗诉案件；</w:t>
      </w:r>
    </w:p>
    <w:p>
      <w:pPr>
        <w:pStyle w:val="32"/>
        <w:ind w:firstLine="640"/>
        <w:rPr>
          <w:rFonts w:hint="eastAsia" w:ascii="仿宋" w:hAnsi="仿宋" w:eastAsia="仿宋" w:cs="仿宋"/>
          <w:sz w:val="32"/>
          <w:lang w:eastAsia="zh-CN"/>
        </w:rPr>
      </w:pPr>
      <w:r>
        <w:rPr>
          <w:rFonts w:hint="eastAsia" w:ascii="仿宋" w:hAnsi="仿宋" w:eastAsia="仿宋" w:cs="仿宋"/>
          <w:sz w:val="32"/>
          <w:lang w:eastAsia="zh-CN"/>
        </w:rPr>
        <w:t>刑事案件</w:t>
      </w:r>
      <w:r>
        <w:rPr>
          <w:rFonts w:hint="eastAsia" w:ascii="仿宋" w:hAnsi="仿宋" w:eastAsia="仿宋" w:cs="仿宋"/>
          <w:sz w:val="32"/>
        </w:rPr>
        <w:t>判决、裁定</w:t>
      </w:r>
      <w:r>
        <w:rPr>
          <w:rFonts w:hint="eastAsia" w:ascii="仿宋" w:hAnsi="仿宋" w:eastAsia="仿宋" w:cs="仿宋"/>
          <w:sz w:val="32"/>
          <w:lang w:eastAsia="zh-CN"/>
        </w:rPr>
        <w:t>及执行监督；</w:t>
      </w:r>
      <w:r>
        <w:rPr>
          <w:rFonts w:hint="eastAsia" w:ascii="仿宋" w:hAnsi="仿宋" w:eastAsia="仿宋" w:cs="仿宋"/>
          <w:sz w:val="32"/>
        </w:rPr>
        <w:t>对行政机关违法行使职权或不作为进行检察监督，依法提起行政公益诉讼</w:t>
      </w:r>
    </w:p>
    <w:p>
      <w:pPr>
        <w:numPr>
          <w:ilvl w:val="0"/>
          <w:numId w:val="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en-US" w:eastAsia="zh-CN"/>
        </w:rPr>
        <w:t>2.</w:t>
      </w:r>
      <w:r>
        <w:rPr>
          <w:rFonts w:hint="eastAsia" w:eastAsia="方正仿宋_GBK"/>
          <w:sz w:val="33"/>
          <w:szCs w:val="33"/>
          <w:lang w:val="zh-CN"/>
        </w:rPr>
        <w:t>项目立项、资金申报的依据。</w:t>
      </w:r>
    </w:p>
    <w:p>
      <w:pPr>
        <w:numPr>
          <w:ilvl w:val="0"/>
          <w:numId w:val="0"/>
        </w:num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2014年，财政部、最高人民检察院联合印发《人民检察院财务管理暂行办法》（财行【2014】2号），该办法对办案业务经费的使用进行了详尽的规定。</w:t>
      </w:r>
    </w:p>
    <w:p>
      <w:pPr>
        <w:numPr>
          <w:ilvl w:val="0"/>
          <w:numId w:val="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en-US" w:eastAsia="zh-CN"/>
        </w:rPr>
        <w:t>3.</w:t>
      </w:r>
      <w:r>
        <w:rPr>
          <w:rFonts w:hint="eastAsia" w:eastAsia="方正仿宋_GBK"/>
          <w:sz w:val="33"/>
          <w:szCs w:val="33"/>
          <w:lang w:val="zh-CN"/>
        </w:rPr>
        <w:t>资金管理办法制定情况，资金支持具体项目的条件、范围与支持方式概况。</w:t>
      </w:r>
    </w:p>
    <w:p>
      <w:pPr>
        <w:numPr>
          <w:ilvl w:val="0"/>
          <w:numId w:val="0"/>
        </w:num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资金管理依据财行【2014】2号文件附件《检察业务费开支范围》进行，该办法对办案业务经费的使用进行了详尽的规定。</w:t>
      </w:r>
    </w:p>
    <w:p>
      <w:pPr>
        <w:numPr>
          <w:ilvl w:val="0"/>
          <w:numId w:val="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en-US" w:eastAsia="zh-CN"/>
        </w:rPr>
        <w:t>4.</w:t>
      </w:r>
      <w:r>
        <w:rPr>
          <w:rFonts w:hint="eastAsia" w:eastAsia="方正仿宋_GBK"/>
          <w:sz w:val="33"/>
          <w:szCs w:val="33"/>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资金分配的原则：对于符合财行【2014】2号文件附件</w:t>
      </w:r>
    </w:p>
    <w:p>
      <w:pPr>
        <w:numPr>
          <w:ilvl w:val="0"/>
          <w:numId w:val="0"/>
        </w:numPr>
        <w:adjustRightInd w:val="0"/>
        <w:snapToGrid w:val="0"/>
        <w:spacing w:line="600" w:lineRule="exact"/>
        <w:rPr>
          <w:rFonts w:hint="eastAsia" w:eastAsia="方正仿宋_GBK"/>
          <w:sz w:val="33"/>
          <w:szCs w:val="33"/>
          <w:lang w:val="zh-CN"/>
        </w:rPr>
      </w:pPr>
      <w:r>
        <w:rPr>
          <w:rFonts w:hint="eastAsia" w:ascii="仿宋" w:hAnsi="仿宋" w:eastAsia="仿宋" w:cs="仿宋"/>
          <w:sz w:val="32"/>
          <w:szCs w:val="32"/>
          <w:lang w:val="en-US" w:eastAsia="zh-CN"/>
        </w:rPr>
        <w:t>《检察业务费开支范围》的办案业务经费据实开支。</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（二）项目绩效目标</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．项目主要内容。</w:t>
      </w:r>
    </w:p>
    <w:p>
      <w:pPr>
        <w:adjustRightInd w:val="0"/>
        <w:snapToGrid w:val="0"/>
        <w:spacing w:line="600" w:lineRule="exact"/>
        <w:ind w:firstLine="640" w:firstLineChars="200"/>
        <w:rPr>
          <w:rFonts w:hint="eastAsia" w:eastAsia="方正仿宋_GBK"/>
          <w:sz w:val="33"/>
          <w:szCs w:val="33"/>
          <w:lang w:val="zh-CN"/>
        </w:rPr>
      </w:pPr>
      <w:r>
        <w:rPr>
          <w:rFonts w:hint="eastAsia" w:ascii="仿宋" w:hAnsi="仿宋" w:eastAsia="仿宋" w:cs="仿宋"/>
          <w:sz w:val="32"/>
          <w:szCs w:val="32"/>
          <w:lang w:val="en-US" w:eastAsia="zh-CN"/>
        </w:rPr>
        <w:t>包括办案费、消耗费、会议费、业务租赁费、业务维修费、检察宣传费、教育培训费、奖励费、派驻机构经费和其他业务经费。该项目包含扫黑除恶专项斗争经费、书记员经费、行政检察工作经费等。</w:t>
      </w:r>
    </w:p>
    <w:p>
      <w:pPr>
        <w:numPr>
          <w:ilvl w:val="0"/>
          <w:numId w:val="8"/>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）办理各类案件1200件左右，</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）完成省检察院正规化培训调训任务，参训率达80%，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）完成省级以上主流媒体新闻刊（播）采用数量25篇，其中中央级媒体刊（播）上稿1篇，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）批捕案件法定期限内审结率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认罪认罚刑事案件提出确定量刑建议率不低于70%、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）量刑建议采纳率不低于80%、上诉率不高于4%，</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）刑事附带民事公益诉讼案件数达3件。</w:t>
      </w:r>
    </w:p>
    <w:p>
      <w:pPr>
        <w:numPr>
          <w:ilvl w:val="0"/>
          <w:numId w:val="8"/>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申报内容与实际相符，申报目标合理可行。</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说明项目绩效自评采用的组织实施步骤及方法。</w:t>
      </w:r>
    </w:p>
    <w:p>
      <w:p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本次绩效自评由办公室统一组织，涉及相关的绩效指标完成情况由综合业务部、政治部、办公室提供，数据来源为</w:t>
      </w:r>
      <w:r>
        <w:rPr>
          <w:rFonts w:hint="eastAsia" w:ascii="仿宋" w:hAnsi="仿宋" w:eastAsia="仿宋" w:cs="仿宋"/>
          <w:sz w:val="32"/>
          <w:szCs w:val="32"/>
          <w:lang w:val="en-US" w:eastAsia="zh-CN"/>
        </w:rPr>
        <w:t>2021年广安市检察院对邻水县检察院的业绩考核评价。</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0" w:firstLineChars="200"/>
        <w:rPr>
          <w:rFonts w:hint="eastAsia"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40" w:firstLineChars="200"/>
        <w:rPr>
          <w:rFonts w:hint="eastAsia" w:eastAsia="方正楷体_GBK"/>
          <w:b/>
          <w:sz w:val="33"/>
          <w:szCs w:val="33"/>
          <w:lang w:val="zh-CN"/>
        </w:rPr>
      </w:pPr>
      <w:r>
        <w:rPr>
          <w:rFonts w:hint="eastAsia" w:ascii="仿宋" w:hAnsi="仿宋" w:eastAsia="仿宋" w:cs="仿宋"/>
          <w:sz w:val="32"/>
          <w:szCs w:val="32"/>
          <w:lang w:val="en-US" w:eastAsia="zh-CN"/>
        </w:rPr>
        <w:t>2021年年初项目资金申报县财政本级解决总额为443万元，后因县财政财力紧张，收回73.24万元。</w:t>
      </w:r>
    </w:p>
    <w:p>
      <w:pPr>
        <w:numPr>
          <w:ilvl w:val="0"/>
          <w:numId w:val="6"/>
        </w:numPr>
        <w:adjustRightInd w:val="0"/>
        <w:snapToGrid w:val="0"/>
        <w:spacing w:line="600" w:lineRule="exact"/>
        <w:ind w:left="0" w:leftChars="0" w:firstLine="660" w:firstLineChars="200"/>
        <w:rPr>
          <w:rFonts w:hint="eastAsia" w:eastAsia="方正楷体_GBK"/>
          <w:b/>
          <w:sz w:val="33"/>
          <w:szCs w:val="33"/>
          <w:lang w:val="zh-CN"/>
        </w:rPr>
      </w:pPr>
      <w:r>
        <w:rPr>
          <w:rFonts w:hint="eastAsia" w:eastAsia="方正楷体_GBK"/>
          <w:b/>
          <w:sz w:val="33"/>
          <w:szCs w:val="33"/>
          <w:lang w:val="zh-CN"/>
        </w:rPr>
        <w:t>资金计划、到位及使用情况</w:t>
      </w:r>
    </w:p>
    <w:p>
      <w:pPr>
        <w:numPr>
          <w:ilvl w:val="0"/>
          <w:numId w:val="0"/>
        </w:numPr>
        <w:adjustRightInd w:val="0"/>
        <w:snapToGrid w:val="0"/>
        <w:spacing w:line="600" w:lineRule="exact"/>
        <w:ind w:firstLine="660" w:firstLineChars="200"/>
        <w:rPr>
          <w:rFonts w:hint="default" w:ascii="仿宋" w:hAnsi="仿宋" w:eastAsia="仿宋" w:cs="仿宋"/>
          <w:sz w:val="32"/>
          <w:szCs w:val="32"/>
          <w:lang w:val="en-US" w:eastAsia="zh-CN"/>
        </w:rPr>
      </w:pPr>
      <w:r>
        <w:rPr>
          <w:rFonts w:eastAsia="方正仿宋_GBK"/>
          <w:sz w:val="33"/>
          <w:szCs w:val="33"/>
          <w:lang w:val="zh-CN"/>
        </w:rPr>
        <w:t>1</w:t>
      </w:r>
      <w:r>
        <w:rPr>
          <w:rFonts w:hint="eastAsia" w:eastAsia="方正仿宋_GBK"/>
          <w:sz w:val="33"/>
          <w:szCs w:val="33"/>
          <w:lang w:val="zh-CN"/>
        </w:rPr>
        <w:t>．资金计划。</w:t>
      </w:r>
      <w:r>
        <w:rPr>
          <w:rFonts w:hint="eastAsia" w:ascii="仿宋" w:hAnsi="仿宋" w:eastAsia="仿宋" w:cs="仿宋"/>
          <w:sz w:val="32"/>
          <w:szCs w:val="32"/>
          <w:lang w:val="en-US" w:eastAsia="zh-CN"/>
        </w:rPr>
        <w:t>2021年年初计划列支443万元。</w:t>
      </w:r>
    </w:p>
    <w:p>
      <w:pPr>
        <w:adjustRightInd w:val="0"/>
        <w:snapToGrid w:val="0"/>
        <w:spacing w:line="600" w:lineRule="exact"/>
        <w:ind w:firstLine="660" w:firstLineChars="200"/>
        <w:rPr>
          <w:rFonts w:hint="default" w:ascii="仿宋" w:hAnsi="仿宋" w:eastAsia="仿宋" w:cs="仿宋"/>
          <w:sz w:val="32"/>
          <w:szCs w:val="32"/>
          <w:lang w:val="en-US" w:eastAsia="zh-CN"/>
        </w:rPr>
      </w:pPr>
      <w:r>
        <w:rPr>
          <w:rFonts w:eastAsia="方正仿宋_GBK"/>
          <w:sz w:val="33"/>
          <w:szCs w:val="33"/>
          <w:lang w:val="zh-CN"/>
        </w:rPr>
        <w:t>2</w:t>
      </w:r>
      <w:r>
        <w:rPr>
          <w:rFonts w:hint="eastAsia" w:eastAsia="方正仿宋_GBK"/>
          <w:sz w:val="33"/>
          <w:szCs w:val="33"/>
          <w:lang w:val="zh-CN"/>
        </w:rPr>
        <w:t>．资金到位。</w:t>
      </w:r>
      <w:r>
        <w:rPr>
          <w:rFonts w:hint="eastAsia" w:ascii="仿宋" w:hAnsi="仿宋" w:eastAsia="仿宋" w:cs="仿宋"/>
          <w:sz w:val="32"/>
          <w:szCs w:val="32"/>
          <w:lang w:val="en-US" w:eastAsia="zh-CN"/>
        </w:rPr>
        <w:t>2021年年末资金到位解决443万元。</w:t>
      </w:r>
    </w:p>
    <w:p>
      <w:pPr>
        <w:adjustRightInd w:val="0"/>
        <w:snapToGrid w:val="0"/>
        <w:spacing w:line="600" w:lineRule="exact"/>
        <w:ind w:firstLine="660" w:firstLineChars="200"/>
        <w:rPr>
          <w:rFonts w:hint="eastAsia" w:ascii="仿宋" w:hAnsi="仿宋" w:eastAsia="仿宋" w:cs="仿宋"/>
          <w:sz w:val="32"/>
          <w:szCs w:val="32"/>
          <w:lang w:val="zh-CN"/>
        </w:rPr>
      </w:pPr>
      <w:r>
        <w:rPr>
          <w:rFonts w:eastAsia="方正仿宋_GBK"/>
          <w:sz w:val="33"/>
          <w:szCs w:val="33"/>
          <w:lang w:val="zh-CN"/>
        </w:rPr>
        <w:t>3</w:t>
      </w:r>
      <w:r>
        <w:rPr>
          <w:rFonts w:hint="eastAsia" w:eastAsia="方正仿宋_GBK"/>
          <w:sz w:val="33"/>
          <w:szCs w:val="33"/>
          <w:lang w:val="zh-CN"/>
        </w:rPr>
        <w:t>．资金使用。</w:t>
      </w:r>
      <w:r>
        <w:rPr>
          <w:rFonts w:hint="eastAsia" w:ascii="仿宋" w:hAnsi="仿宋" w:eastAsia="仿宋" w:cs="仿宋"/>
          <w:sz w:val="32"/>
          <w:szCs w:val="32"/>
          <w:lang w:val="zh-CN"/>
        </w:rPr>
        <w:t>截止评价时点该项目已到位资金已按规定支出</w:t>
      </w:r>
      <w:r>
        <w:rPr>
          <w:rFonts w:hint="eastAsia" w:ascii="仿宋" w:hAnsi="仿宋" w:eastAsia="仿宋" w:cs="仿宋"/>
          <w:sz w:val="32"/>
          <w:szCs w:val="32"/>
          <w:lang w:val="en-US" w:eastAsia="zh-CN"/>
        </w:rPr>
        <w:t>369.76，主要原因：一是县财政财力紧张收回县本级非税列支项目73.24万元</w:t>
      </w:r>
      <w:r>
        <w:rPr>
          <w:rFonts w:hint="eastAsia" w:ascii="仿宋" w:hAnsi="仿宋" w:eastAsia="仿宋" w:cs="仿宋"/>
          <w:sz w:val="32"/>
          <w:szCs w:val="32"/>
          <w:lang w:val="zh-CN"/>
        </w:rPr>
        <w:t>。</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（三）项目财务管理情况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adjustRightInd w:val="0"/>
        <w:snapToGrid w:val="0"/>
        <w:spacing w:line="600" w:lineRule="exact"/>
        <w:ind w:firstLine="660" w:firstLineChars="200"/>
        <w:rPr>
          <w:rFonts w:hint="eastAsia" w:eastAsia="方正楷体_GBK"/>
          <w:b/>
          <w:sz w:val="33"/>
          <w:szCs w:val="33"/>
          <w:lang w:val="zh-CN"/>
        </w:rPr>
      </w:pPr>
      <w:r>
        <w:rPr>
          <w:rFonts w:hint="eastAsia" w:eastAsia="方正楷体_GBK"/>
          <w:b/>
          <w:sz w:val="33"/>
          <w:szCs w:val="33"/>
          <w:lang w:val="zh-CN"/>
        </w:rPr>
        <w:t>（一）项目组织架构及实施流程略</w:t>
      </w:r>
    </w:p>
    <w:p>
      <w:pPr>
        <w:adjustRightInd w:val="0"/>
        <w:snapToGrid w:val="0"/>
        <w:spacing w:line="60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zh-CN"/>
        </w:rPr>
        <w:t>办案经费使用由部门经办人及部门负责人在相关支出票据上签字，经办人及部门负责人对开支真实性负责，之后交办公室主任进行票据合规性审查，之后由部门分管领导及办公室分管室领导签字报销，</w:t>
      </w:r>
      <w:r>
        <w:rPr>
          <w:rFonts w:hint="eastAsia" w:ascii="仿宋" w:hAnsi="仿宋" w:eastAsia="仿宋" w:cs="仿宋"/>
          <w:b w:val="0"/>
          <w:bCs/>
          <w:sz w:val="32"/>
          <w:szCs w:val="32"/>
          <w:lang w:val="en-US" w:eastAsia="zh-CN"/>
        </w:rPr>
        <w:t>10000元以上的开支须经院党组会讨论通过。</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项目实施单位严格执行</w:t>
      </w:r>
      <w:r>
        <w:rPr>
          <w:rFonts w:hint="eastAsia" w:ascii="仿宋" w:hAnsi="仿宋" w:eastAsia="仿宋" w:cs="仿宋"/>
          <w:sz w:val="32"/>
          <w:szCs w:val="32"/>
          <w:lang w:val="en-US" w:eastAsia="zh-CN"/>
        </w:rPr>
        <w:t>财行【2014】2号文件</w:t>
      </w:r>
      <w:r>
        <w:rPr>
          <w:rFonts w:hint="eastAsia" w:ascii="仿宋" w:hAnsi="仿宋" w:eastAsia="仿宋" w:cs="仿宋"/>
          <w:sz w:val="32"/>
          <w:szCs w:val="32"/>
          <w:lang w:val="zh-CN"/>
        </w:rPr>
        <w:t>相关规定。</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40" w:firstLineChars="200"/>
        <w:rPr>
          <w:rFonts w:eastAsia="方正仿宋_GBK"/>
          <w:sz w:val="33"/>
          <w:szCs w:val="33"/>
          <w:lang w:val="zh-CN"/>
        </w:rPr>
      </w:pPr>
      <w:r>
        <w:rPr>
          <w:rFonts w:hint="eastAsia" w:ascii="仿宋" w:hAnsi="仿宋" w:eastAsia="仿宋" w:cs="仿宋"/>
          <w:sz w:val="32"/>
          <w:szCs w:val="32"/>
          <w:lang w:val="zh-CN"/>
        </w:rPr>
        <w:t>依据</w:t>
      </w:r>
      <w:r>
        <w:rPr>
          <w:rFonts w:hint="eastAsia" w:ascii="仿宋" w:hAnsi="仿宋" w:eastAsia="仿宋" w:cs="仿宋"/>
          <w:sz w:val="32"/>
          <w:szCs w:val="32"/>
          <w:lang w:val="en-US" w:eastAsia="zh-CN"/>
        </w:rPr>
        <w:t>财行【2014】2号文件</w:t>
      </w:r>
      <w:r>
        <w:rPr>
          <w:rFonts w:hint="eastAsia" w:ascii="仿宋" w:hAnsi="仿宋" w:eastAsia="仿宋" w:cs="仿宋"/>
          <w:sz w:val="32"/>
          <w:szCs w:val="32"/>
          <w:lang w:val="zh-CN"/>
        </w:rPr>
        <w:t>相关规定，对项目实施的具体情况进行了定期及不定期监督，确保项目实施规范，无违规违纪情况</w:t>
      </w:r>
      <w:r>
        <w:rPr>
          <w:rFonts w:hint="eastAsia" w:eastAsia="方正仿宋_GBK"/>
          <w:sz w:val="33"/>
          <w:szCs w:val="33"/>
          <w:lang w:val="zh-CN"/>
        </w:rPr>
        <w:t>。</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项目各项数量、质量、时效、成本等各项指标都按申报目标的要求全面完成。</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1）目标</w:t>
      </w:r>
      <w:r>
        <w:rPr>
          <w:rFonts w:hint="eastAsia" w:ascii="仿宋" w:hAnsi="仿宋" w:eastAsia="仿宋" w:cs="仿宋"/>
          <w:sz w:val="32"/>
          <w:szCs w:val="32"/>
          <w:lang w:val="zh-CN"/>
        </w:rPr>
        <w:t>办理各类案件1200件左右，实际办理各类案件1572件；</w:t>
      </w:r>
    </w:p>
    <w:p>
      <w:pPr>
        <w:numPr>
          <w:ilvl w:val="0"/>
          <w:numId w:val="0"/>
        </w:num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完成省检察院正规化培训调训任务，参训率达80%，实际参训率达</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0%；</w:t>
      </w:r>
    </w:p>
    <w:p>
      <w:pPr>
        <w:adjustRightInd w:val="0"/>
        <w:snapToGrid w:val="0"/>
        <w:spacing w:line="600" w:lineRule="exact"/>
        <w:ind w:firstLine="640" w:firstLineChars="200"/>
        <w:rPr>
          <w:rFonts w:hint="eastAsia" w:ascii="仿宋" w:hAnsi="仿宋" w:eastAsia="仿宋" w:cs="仿宋"/>
          <w:b w:val="0"/>
          <w:bCs/>
          <w:sz w:val="33"/>
          <w:szCs w:val="33"/>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完成省级以上主流媒体新闻刊（播）采用数量25篇，其中中央级媒体刊（播）上稿1篇，实际</w:t>
      </w:r>
      <w:r>
        <w:rPr>
          <w:rFonts w:hint="eastAsia" w:ascii="仿宋" w:hAnsi="仿宋" w:eastAsia="仿宋" w:cs="仿宋"/>
          <w:b w:val="0"/>
          <w:bCs/>
          <w:sz w:val="33"/>
          <w:szCs w:val="33"/>
          <w:lang w:val="zh-CN"/>
        </w:rPr>
        <w:t>完成省级以上主流媒体新闻刊40</w:t>
      </w:r>
      <w:r>
        <w:rPr>
          <w:rFonts w:hint="eastAsia" w:ascii="仿宋" w:hAnsi="仿宋" w:eastAsia="仿宋" w:cs="仿宋"/>
          <w:sz w:val="32"/>
          <w:szCs w:val="32"/>
          <w:lang w:val="zh-CN"/>
        </w:rPr>
        <w:t>（播）</w:t>
      </w:r>
      <w:r>
        <w:rPr>
          <w:rFonts w:hint="eastAsia" w:ascii="仿宋" w:hAnsi="仿宋" w:eastAsia="仿宋" w:cs="仿宋"/>
          <w:b w:val="0"/>
          <w:bCs/>
          <w:sz w:val="33"/>
          <w:szCs w:val="33"/>
          <w:lang w:val="zh-CN"/>
        </w:rPr>
        <w:t>篇，中央媒体刊（播）上稿量10篇</w:t>
      </w:r>
    </w:p>
    <w:p>
      <w:pPr>
        <w:numPr>
          <w:ilvl w:val="0"/>
          <w:numId w:val="0"/>
        </w:numPr>
        <w:adjustRightInd w:val="0"/>
        <w:snapToGrid w:val="0"/>
        <w:spacing w:line="60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批捕案件法定期限内审结率</w:t>
      </w:r>
      <w:r>
        <w:rPr>
          <w:rFonts w:hint="eastAsia" w:ascii="仿宋" w:hAnsi="仿宋" w:eastAsia="仿宋" w:cs="仿宋"/>
          <w:sz w:val="32"/>
          <w:szCs w:val="32"/>
          <w:lang w:val="en-US" w:eastAsia="zh-CN"/>
        </w:rPr>
        <w:t>100%，实际为100%；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认罪认罚刑事案件提出确定量刑建议率不低于70%，实际为</w:t>
      </w:r>
      <w:r>
        <w:rPr>
          <w:rFonts w:hint="eastAsia" w:ascii="仿宋" w:hAnsi="仿宋" w:eastAsia="仿宋" w:cs="仿宋"/>
          <w:sz w:val="32"/>
          <w:szCs w:val="32"/>
          <w:lang w:val="en-US" w:eastAsia="zh-CN"/>
        </w:rPr>
        <w:t>96.3%；</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量刑建议采纳率不低于80%、上诉率不高于4%，实际量刑建议采纳率93.5%、上诉率1.6%；</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rPr>
        <w:t>刑事附带民事公益诉讼案件数达3件，实际完成</w:t>
      </w:r>
      <w:r>
        <w:rPr>
          <w:rFonts w:hint="eastAsia" w:ascii="仿宋" w:hAnsi="仿宋" w:eastAsia="仿宋" w:cs="仿宋"/>
          <w:sz w:val="32"/>
          <w:szCs w:val="32"/>
          <w:lang w:val="en-US" w:eastAsia="zh-CN"/>
        </w:rPr>
        <w:t>3件。</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40" w:firstLineChars="200"/>
        <w:rPr>
          <w:rFonts w:eastAsia="方正仿宋_GBK"/>
          <w:sz w:val="33"/>
          <w:szCs w:val="33"/>
          <w:lang w:val="zh-CN"/>
        </w:rPr>
      </w:pPr>
      <w:r>
        <w:rPr>
          <w:rFonts w:hint="eastAsia" w:ascii="仿宋" w:hAnsi="仿宋" w:eastAsia="仿宋" w:cs="仿宋"/>
          <w:sz w:val="32"/>
          <w:szCs w:val="32"/>
          <w:lang w:val="zh-CN"/>
        </w:rPr>
        <w:t>项目社会效益明细，通过强化刑事、民事、公益诉讼监督，维护邻水良好的法治环境、生态环境、政治生态</w:t>
      </w:r>
      <w:r>
        <w:rPr>
          <w:rFonts w:hint="eastAsia" w:ascii="仿宋" w:hAnsi="仿宋" w:eastAsia="仿宋" w:cs="Times New Roman"/>
          <w:sz w:val="32"/>
          <w:szCs w:val="32"/>
          <w:shd w:val="clear" w:color="auto" w:fill="FFFFFF"/>
          <w:lang w:eastAsia="zh-CN"/>
        </w:rPr>
        <w:t>，维护公平正义，提升执法司法公信力</w:t>
      </w:r>
      <w:r>
        <w:rPr>
          <w:rFonts w:hint="eastAsia" w:eastAsia="方正仿宋_GBK"/>
          <w:sz w:val="33"/>
          <w:szCs w:val="33"/>
          <w:lang w:val="zh-CN"/>
        </w:rPr>
        <w:t>。</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eastAsia="方正仿宋_GBK"/>
          <w:sz w:val="33"/>
          <w:szCs w:val="33"/>
          <w:bdr w:val="single" w:color="auto" w:sz="4" w:space="0"/>
          <w:lang w:val="zh-CN"/>
        </w:rPr>
      </w:pPr>
      <w:r>
        <w:rPr>
          <w:rFonts w:hint="eastAsia" w:ascii="仿宋" w:hAnsi="仿宋" w:eastAsia="仿宋" w:cs="仿宋"/>
          <w:sz w:val="33"/>
          <w:szCs w:val="33"/>
          <w:lang w:val="zh-CN"/>
        </w:rPr>
        <w:t>项目绩效目标申报科学合理，项目实施监控有效，项目各项目标绩效指标能按目标要求完成</w:t>
      </w:r>
      <w:r>
        <w:rPr>
          <w:rFonts w:hint="eastAsia" w:eastAsia="方正仿宋_GBK"/>
          <w:sz w:val="33"/>
          <w:szCs w:val="33"/>
          <w:lang w:val="zh-CN"/>
        </w:rPr>
        <w:t>。</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（三）相关建议</w:t>
      </w:r>
    </w:p>
    <w:p>
      <w:pPr>
        <w:keepNext w:val="0"/>
        <w:keepLines w:val="0"/>
        <w:pageBreakBefore w:val="0"/>
        <w:widowControl w:val="0"/>
        <w:kinsoku/>
        <w:wordWrap/>
        <w:overflowPunct/>
        <w:topLinePunct w:val="0"/>
        <w:autoSpaceDE/>
        <w:autoSpaceDN/>
        <w:bidi w:val="0"/>
        <w:spacing w:line="600" w:lineRule="exact"/>
        <w:ind w:firstLine="96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eastAsia="仿宋_GB2312"/>
          <w:color w:val="auto"/>
          <w:highlight w:val="none"/>
          <w:lang w:val="en-US" w:eastAsia="zh-CN"/>
        </w:rPr>
      </w:pPr>
    </w:p>
    <w:p>
      <w:pPr>
        <w:keepNext w:val="0"/>
        <w:keepLines w:val="0"/>
        <w:pageBreakBefore w:val="0"/>
        <w:widowControl w:val="0"/>
        <w:kinsoku/>
        <w:wordWrap/>
        <w:overflowPunct/>
        <w:topLinePunct w:val="0"/>
        <w:autoSpaceDE/>
        <w:autoSpaceDN/>
        <w:bidi w:val="0"/>
        <w:spacing w:line="600" w:lineRule="exact"/>
        <w:ind w:firstLine="1200" w:firstLineChars="300"/>
        <w:jc w:val="both"/>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spacing w:line="600" w:lineRule="exact"/>
        <w:ind w:firstLine="660" w:firstLineChars="200"/>
        <w:jc w:val="center"/>
        <w:rPr>
          <w:rFonts w:eastAsia="方正仿宋_GBK"/>
          <w:sz w:val="33"/>
          <w:szCs w:val="33"/>
        </w:rPr>
      </w:pPr>
      <w:r>
        <w:rPr>
          <w:rFonts w:hint="eastAsia" w:eastAsia="方正仿宋_GBK"/>
          <w:sz w:val="33"/>
          <w:szCs w:val="33"/>
        </w:rPr>
        <w:t>（</w:t>
      </w:r>
      <w:r>
        <w:rPr>
          <w:rFonts w:hint="eastAsia" w:eastAsia="方正仿宋_GBK"/>
          <w:sz w:val="33"/>
          <w:szCs w:val="33"/>
          <w:lang w:eastAsia="zh-CN"/>
        </w:rPr>
        <w:t>业务装备购置</w:t>
      </w:r>
      <w:r>
        <w:rPr>
          <w:rFonts w:hint="eastAsia" w:eastAsia="方正仿宋_GBK"/>
          <w:sz w:val="33"/>
          <w:szCs w:val="33"/>
        </w:rPr>
        <w:t>项目）</w:t>
      </w:r>
    </w:p>
    <w:p>
      <w:pPr>
        <w:pStyle w:val="33"/>
        <w:spacing w:line="590" w:lineRule="exact"/>
        <w:ind w:firstLine="660" w:firstLineChars="200"/>
        <w:jc w:val="center"/>
        <w:rPr>
          <w:rFonts w:ascii="Times New Roman" w:hAnsi="Times New Roman" w:eastAsia="方正仿宋_GBK"/>
          <w:color w:val="auto"/>
          <w:kern w:val="2"/>
          <w:sz w:val="33"/>
          <w:szCs w:val="33"/>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．说明项目主管部门（单位）在该项目管理中的职能。</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形成“全业务智慧办案、全要素智慧管理、全方位智慧服务、全领域智慧支撑”的智慧检务总体架构。全面实现检察工作数字化、网络化、应用化、智能化。</w:t>
      </w:r>
    </w:p>
    <w:p>
      <w:pPr>
        <w:numPr>
          <w:ilvl w:val="0"/>
          <w:numId w:val="9"/>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项目立项、资金申报的依据。</w:t>
      </w:r>
    </w:p>
    <w:p>
      <w:pPr>
        <w:numPr>
          <w:ilvl w:val="0"/>
          <w:numId w:val="0"/>
        </w:numPr>
        <w:adjustRightInd w:val="0"/>
        <w:snapToGrid w:val="0"/>
        <w:spacing w:line="600" w:lineRule="exact"/>
        <w:rPr>
          <w:rFonts w:hint="eastAsia" w:eastAsia="方正仿宋_GBK"/>
          <w:sz w:val="33"/>
          <w:szCs w:val="33"/>
          <w:lang w:val="zh-CN"/>
        </w:rPr>
      </w:pPr>
      <w:r>
        <w:rPr>
          <w:rFonts w:hint="eastAsia" w:ascii="仿宋" w:hAnsi="仿宋" w:eastAsia="仿宋" w:cs="仿宋"/>
          <w:sz w:val="32"/>
          <w:szCs w:val="32"/>
          <w:lang w:val="en-US" w:eastAsia="zh-CN"/>
        </w:rPr>
        <w:t xml:space="preserve"> 2014年，财政部、最高人民检察院联合印发《人民检察院财务管理暂行办法》（财行【2014】2号），该办法对业务装备费的使用进行了详尽的规定。</w:t>
      </w:r>
    </w:p>
    <w:p>
      <w:pPr>
        <w:numPr>
          <w:ilvl w:val="0"/>
          <w:numId w:val="9"/>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资金管理办法制定情况，资金支持具体项目的条件、范围与支持方式概况。</w:t>
      </w:r>
    </w:p>
    <w:p>
      <w:pPr>
        <w:numPr>
          <w:ilvl w:val="0"/>
          <w:numId w:val="0"/>
        </w:numPr>
        <w:adjustRightInd w:val="0"/>
        <w:snapToGrid w:val="0"/>
        <w:spacing w:line="600" w:lineRule="exact"/>
        <w:ind w:firstLine="640" w:firstLineChars="200"/>
        <w:rPr>
          <w:rFonts w:hint="eastAsia" w:eastAsia="方正仿宋_GBK"/>
          <w:sz w:val="33"/>
          <w:szCs w:val="33"/>
          <w:lang w:val="zh-CN"/>
        </w:rPr>
      </w:pPr>
      <w:r>
        <w:rPr>
          <w:rFonts w:hint="eastAsia" w:ascii="仿宋" w:hAnsi="仿宋" w:eastAsia="仿宋" w:cs="仿宋"/>
          <w:sz w:val="32"/>
          <w:szCs w:val="32"/>
          <w:lang w:val="en-US" w:eastAsia="zh-CN"/>
        </w:rPr>
        <w:t>资金管理依据财行【2014】2号文件附件《检察业务费开支范围》进行，该办法对业务装备费的使用进行了详尽的规定。</w:t>
      </w:r>
    </w:p>
    <w:p>
      <w:pPr>
        <w:numPr>
          <w:ilvl w:val="0"/>
          <w:numId w:val="9"/>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资金分配的原则及考虑因素。</w:t>
      </w:r>
    </w:p>
    <w:p>
      <w:pPr>
        <w:numPr>
          <w:ilvl w:val="0"/>
          <w:numId w:val="0"/>
        </w:numPr>
        <w:adjustRightInd w:val="0"/>
        <w:snapToGrid w:val="0"/>
        <w:spacing w:line="600" w:lineRule="exact"/>
        <w:ind w:firstLine="640" w:firstLineChars="200"/>
        <w:rPr>
          <w:rFonts w:hint="eastAsia" w:eastAsia="方正仿宋_GBK"/>
          <w:sz w:val="33"/>
          <w:szCs w:val="33"/>
          <w:lang w:val="zh-CN"/>
        </w:rPr>
      </w:pPr>
      <w:r>
        <w:rPr>
          <w:rFonts w:hint="eastAsia" w:ascii="仿宋" w:hAnsi="仿宋" w:eastAsia="仿宋" w:cs="仿宋"/>
          <w:sz w:val="32"/>
          <w:szCs w:val="32"/>
          <w:lang w:val="en-US" w:eastAsia="zh-CN"/>
        </w:rPr>
        <w:t>资金分配的原则：对于符合财行【2014】2号文件附件《检察业务费开支范围》的业务装备费据实开支。</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（二）项目绩效目标</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．项目主要内容。</w:t>
      </w:r>
    </w:p>
    <w:p>
      <w:pPr>
        <w:adjustRightInd w:val="0"/>
        <w:snapToGrid w:val="0"/>
        <w:spacing w:line="600" w:lineRule="exact"/>
        <w:ind w:firstLine="660" w:firstLineChars="200"/>
        <w:rPr>
          <w:rFonts w:hint="eastAsia" w:ascii="仿宋" w:hAnsi="仿宋" w:eastAsia="仿宋" w:cs="仿宋"/>
          <w:sz w:val="32"/>
          <w:szCs w:val="32"/>
          <w:lang w:eastAsia="zh-CN"/>
        </w:rPr>
      </w:pPr>
      <w:r>
        <w:rPr>
          <w:rFonts w:hint="eastAsia" w:eastAsia="方正仿宋_GBK"/>
          <w:sz w:val="33"/>
          <w:szCs w:val="33"/>
          <w:lang w:val="en-US" w:eastAsia="zh-CN"/>
        </w:rPr>
        <w:t xml:space="preserve"> （1）</w:t>
      </w:r>
      <w:r>
        <w:rPr>
          <w:rFonts w:hint="eastAsia" w:ascii="仿宋" w:hAnsi="仿宋" w:eastAsia="仿宋" w:cs="仿宋"/>
          <w:sz w:val="32"/>
          <w:szCs w:val="32"/>
          <w:lang w:val="en-US" w:eastAsia="zh-CN"/>
        </w:rPr>
        <w:t>根据广安市人民检察院对我院的绩效考评要求，2021年开展听证室项目建设，项目预算总额为44万元，</w:t>
      </w:r>
      <w:r>
        <w:rPr>
          <w:rFonts w:hint="eastAsia" w:ascii="仿宋" w:hAnsi="仿宋" w:eastAsia="仿宋" w:cs="仿宋"/>
          <w:sz w:val="32"/>
          <w:szCs w:val="32"/>
        </w:rPr>
        <w:t>提升听证业务的规范化、智能化和公开化水平</w:t>
      </w:r>
      <w:r>
        <w:rPr>
          <w:rFonts w:hint="eastAsia" w:ascii="仿宋" w:hAnsi="仿宋" w:eastAsia="仿宋" w:cs="仿宋"/>
          <w:sz w:val="32"/>
          <w:szCs w:val="32"/>
          <w:lang w:eastAsia="zh-CN"/>
        </w:rPr>
        <w:t>。</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（2）支付由广安市人民检察院统一实施公益诉讼快速检测实验室建设费用3.5万元（邻水县检察院应负担部分）。</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（3）继续实施2020年11月开始实施的网络一体化建设，并支付项目建设费用50.5万元。</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（4）完成63名检察人员的夏季服装换装，并支付经费4万元（预计）。</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（5）支付业务装备运行维修费5.5万元。</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（6）网络维护费3万元。</w:t>
      </w:r>
    </w:p>
    <w:p>
      <w:pPr>
        <w:pStyle w:val="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（7）网络分级保护尾款19万元。</w:t>
      </w:r>
    </w:p>
    <w:p>
      <w:pPr>
        <w:pStyle w:val="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（8）案卷装订机1万元。</w:t>
      </w:r>
    </w:p>
    <w:p>
      <w:pPr>
        <w:pStyle w:val="2"/>
        <w:ind w:firstLine="640"/>
        <w:rPr>
          <w:rFonts w:hint="default" w:ascii="仿宋" w:hAnsi="仿宋" w:eastAsia="仿宋" w:cs="仿宋"/>
          <w:sz w:val="32"/>
          <w:szCs w:val="32"/>
          <w:lang w:val="en-US" w:eastAsia="zh-CN"/>
        </w:rPr>
      </w:pPr>
    </w:p>
    <w:p>
      <w:pPr>
        <w:numPr>
          <w:ilvl w:val="0"/>
          <w:numId w:val="1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default" w:eastAsia="方正仿宋_GBK"/>
          <w:sz w:val="33"/>
          <w:szCs w:val="33"/>
          <w:lang w:val="en-US" w:eastAsia="zh-CN"/>
        </w:rPr>
      </w:pPr>
      <w:r>
        <w:rPr>
          <w:rFonts w:hint="eastAsia" w:ascii="仿宋" w:hAnsi="仿宋" w:eastAsia="仿宋" w:cs="仿宋"/>
          <w:sz w:val="32"/>
          <w:szCs w:val="32"/>
          <w:lang w:val="en-US" w:eastAsia="zh-CN"/>
        </w:rPr>
        <w:t>目前申报项目第（2）-（8）项已完成验收并支付资金81.91万元，第（1）项听证室建设经邻水县人民政府采购中心3次询价均废标，未支付。</w:t>
      </w:r>
    </w:p>
    <w:p>
      <w:pPr>
        <w:numPr>
          <w:ilvl w:val="0"/>
          <w:numId w:val="10"/>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eastAsia="方正仿宋_GBK"/>
          <w:sz w:val="33"/>
          <w:szCs w:val="33"/>
          <w:lang w:val="zh-CN"/>
        </w:rPr>
      </w:pPr>
      <w:r>
        <w:rPr>
          <w:rFonts w:hint="eastAsia" w:ascii="仿宋" w:hAnsi="仿宋" w:eastAsia="仿宋" w:cs="仿宋"/>
          <w:sz w:val="32"/>
          <w:szCs w:val="32"/>
          <w:lang w:val="zh-CN"/>
        </w:rPr>
        <w:t>申报内容与实际相符，申报目标合理可行。</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本次绩效自评对照</w:t>
      </w:r>
      <w:r>
        <w:rPr>
          <w:rFonts w:hint="eastAsia" w:ascii="仿宋" w:hAnsi="仿宋" w:eastAsia="仿宋" w:cs="仿宋"/>
          <w:sz w:val="32"/>
          <w:szCs w:val="32"/>
          <w:lang w:val="en-US" w:eastAsia="zh-CN"/>
        </w:rPr>
        <w:t>2021年年初业务装备项目绩效目标申报表所制定的绩效目标逐一进行对比。</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2021年年初项目资金申报县财政解决总额为128万元，其中2020年结转资金53万元，其余为2021年中央政法转移支付资金（业务装备经费）。2021年6月县财政下达2021年政法纪检监察转移支付资金（业务装备费）79万元。</w:t>
      </w:r>
    </w:p>
    <w:p>
      <w:pPr>
        <w:numPr>
          <w:ilvl w:val="0"/>
          <w:numId w:val="6"/>
        </w:numPr>
        <w:adjustRightInd w:val="0"/>
        <w:snapToGrid w:val="0"/>
        <w:spacing w:line="600" w:lineRule="exact"/>
        <w:ind w:left="0" w:leftChars="0" w:firstLine="660" w:firstLineChars="200"/>
        <w:rPr>
          <w:rFonts w:hint="eastAsia" w:eastAsia="方正楷体_GBK"/>
          <w:b/>
          <w:sz w:val="33"/>
          <w:szCs w:val="33"/>
          <w:lang w:val="zh-CN"/>
        </w:rPr>
      </w:pPr>
      <w:r>
        <w:rPr>
          <w:rFonts w:hint="eastAsia" w:eastAsia="方正楷体_GBK"/>
          <w:b/>
          <w:sz w:val="33"/>
          <w:szCs w:val="33"/>
          <w:lang w:val="zh-CN"/>
        </w:rPr>
        <w:t>资金计划、到位及使用情况</w:t>
      </w:r>
    </w:p>
    <w:p>
      <w:pPr>
        <w:numPr>
          <w:ilvl w:val="0"/>
          <w:numId w:val="0"/>
        </w:numPr>
        <w:adjustRightInd w:val="0"/>
        <w:snapToGrid w:val="0"/>
        <w:spacing w:line="600" w:lineRule="exact"/>
        <w:ind w:leftChars="200" w:firstLine="330" w:firstLineChars="1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．资金计划。</w:t>
      </w:r>
    </w:p>
    <w:p>
      <w:pPr>
        <w:adjustRightInd w:val="0"/>
        <w:snapToGrid w:val="0"/>
        <w:spacing w:line="600" w:lineRule="exact"/>
        <w:ind w:firstLine="640" w:firstLineChars="200"/>
        <w:rPr>
          <w:rFonts w:eastAsia="方正仿宋_GBK"/>
          <w:sz w:val="33"/>
          <w:szCs w:val="33"/>
          <w:lang w:val="zh-CN"/>
        </w:rPr>
      </w:pPr>
      <w:r>
        <w:rPr>
          <w:rFonts w:hint="eastAsia" w:ascii="仿宋" w:hAnsi="仿宋" w:eastAsia="仿宋" w:cs="仿宋"/>
          <w:sz w:val="32"/>
          <w:szCs w:val="32"/>
          <w:lang w:val="en-US" w:eastAsia="zh-CN"/>
        </w:rPr>
        <w:t>2021年年初项目资金申报县财政解决总额为128万元，其中2020年结转资金53万元，其余为2021年中央政法转移支付资金（业务装备经费）。</w:t>
      </w:r>
    </w:p>
    <w:p>
      <w:pPr>
        <w:adjustRightInd w:val="0"/>
        <w:snapToGrid w:val="0"/>
        <w:spacing w:line="600" w:lineRule="exact"/>
        <w:ind w:firstLine="660" w:firstLineChars="200"/>
        <w:rPr>
          <w:rFonts w:hint="default" w:ascii="仿宋" w:hAnsi="仿宋" w:eastAsia="仿宋" w:cs="仿宋"/>
          <w:sz w:val="32"/>
          <w:szCs w:val="32"/>
          <w:lang w:val="en-US" w:eastAsia="zh-CN"/>
        </w:rPr>
      </w:pPr>
      <w:r>
        <w:rPr>
          <w:rFonts w:eastAsia="方正仿宋_GBK"/>
          <w:sz w:val="33"/>
          <w:szCs w:val="33"/>
          <w:lang w:val="zh-CN"/>
        </w:rPr>
        <w:t>2</w:t>
      </w:r>
      <w:r>
        <w:rPr>
          <w:rFonts w:hint="eastAsia" w:eastAsia="方正仿宋_GBK"/>
          <w:sz w:val="33"/>
          <w:szCs w:val="33"/>
          <w:lang w:val="zh-CN"/>
        </w:rPr>
        <w:t>．资金到位。</w:t>
      </w:r>
      <w:r>
        <w:rPr>
          <w:rFonts w:hint="eastAsia" w:ascii="仿宋" w:hAnsi="仿宋" w:eastAsia="仿宋" w:cs="仿宋"/>
          <w:sz w:val="32"/>
          <w:szCs w:val="32"/>
          <w:lang w:val="en-US" w:eastAsia="zh-CN"/>
        </w:rPr>
        <w:t>2021年6月县财政下达2021年政法纪检监察转移支付资金（业务装备费）79万元。</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3</w:t>
      </w:r>
      <w:r>
        <w:rPr>
          <w:rFonts w:hint="eastAsia" w:eastAsia="方正仿宋_GBK"/>
          <w:sz w:val="33"/>
          <w:szCs w:val="33"/>
          <w:lang w:val="zh-CN"/>
        </w:rPr>
        <w:t>．资金使用。</w:t>
      </w:r>
    </w:p>
    <w:p>
      <w:pPr>
        <w:numPr>
          <w:ilvl w:val="0"/>
          <w:numId w:val="0"/>
        </w:numPr>
        <w:adjustRightInd w:val="0"/>
        <w:snapToGrid w:val="0"/>
        <w:spacing w:line="600" w:lineRule="exact"/>
        <w:ind w:firstLine="640" w:firstLineChars="200"/>
        <w:rPr>
          <w:rFonts w:hint="default" w:eastAsia="方正仿宋_GBK"/>
          <w:sz w:val="33"/>
          <w:szCs w:val="33"/>
          <w:lang w:val="en-US" w:eastAsia="zh-CN"/>
        </w:rPr>
      </w:pPr>
      <w:r>
        <w:rPr>
          <w:rFonts w:hint="eastAsia" w:ascii="仿宋" w:hAnsi="仿宋" w:eastAsia="仿宋" w:cs="仿宋"/>
          <w:sz w:val="32"/>
          <w:szCs w:val="32"/>
          <w:lang w:val="en-US" w:eastAsia="zh-CN"/>
        </w:rPr>
        <w:t>目前申报项目第（2）-（8）项已完成验收并支付资金81.91万元，第（1）项听证室建设经邻水县人民政府采购中心3次询价均废标，未支付。</w:t>
      </w:r>
    </w:p>
    <w:p>
      <w:pPr>
        <w:pStyle w:val="2"/>
        <w:rPr>
          <w:rFonts w:hint="eastAsia"/>
          <w:lang w:val="en-US" w:eastAsia="zh-CN"/>
        </w:rPr>
      </w:pP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numPr>
          <w:ilvl w:val="0"/>
          <w:numId w:val="11"/>
        </w:numPr>
        <w:adjustRightInd w:val="0"/>
        <w:snapToGrid w:val="0"/>
        <w:spacing w:line="600" w:lineRule="exact"/>
        <w:ind w:firstLine="660" w:firstLineChars="200"/>
        <w:rPr>
          <w:rFonts w:hint="eastAsia" w:eastAsia="方正楷体_GBK"/>
          <w:b/>
          <w:sz w:val="33"/>
          <w:szCs w:val="33"/>
          <w:lang w:val="zh-CN"/>
        </w:rPr>
      </w:pPr>
      <w:r>
        <w:rPr>
          <w:rFonts w:hint="eastAsia" w:eastAsia="方正楷体_GBK"/>
          <w:b/>
          <w:sz w:val="33"/>
          <w:szCs w:val="33"/>
          <w:lang w:val="zh-CN"/>
        </w:rPr>
        <w:t>项目组织架构及实施流程略</w:t>
      </w:r>
    </w:p>
    <w:p>
      <w:pPr>
        <w:numPr>
          <w:ilvl w:val="0"/>
          <w:numId w:val="0"/>
        </w:numPr>
        <w:adjustRightInd w:val="0"/>
        <w:snapToGrid w:val="0"/>
        <w:spacing w:line="600" w:lineRule="exact"/>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项目先交院党组会讨论通过，之后按规定进行采购，采购之后进行项目实施，项目完成后进行项目验收并结算。报销时，由项目经办人及部门负责人在相关支出票据上签字，之后交办公室主任进行票据合规性审查，之后由部门分管领导及办公室分管室领导签字报销。</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项目实施单位严格执行</w:t>
      </w:r>
      <w:r>
        <w:rPr>
          <w:rFonts w:hint="eastAsia" w:ascii="仿宋" w:hAnsi="仿宋" w:eastAsia="仿宋" w:cs="仿宋"/>
          <w:sz w:val="32"/>
          <w:szCs w:val="32"/>
          <w:lang w:val="en-US" w:eastAsia="zh-CN"/>
        </w:rPr>
        <w:t>财行【2014】2号文件</w:t>
      </w:r>
      <w:r>
        <w:rPr>
          <w:rFonts w:hint="eastAsia" w:ascii="仿宋" w:hAnsi="仿宋" w:eastAsia="仿宋" w:cs="仿宋"/>
          <w:sz w:val="32"/>
          <w:szCs w:val="32"/>
          <w:lang w:val="zh-CN"/>
        </w:rPr>
        <w:t>相关规定。</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40" w:firstLineChars="200"/>
        <w:rPr>
          <w:rFonts w:hint="eastAsia" w:eastAsia="方正仿宋_GBK"/>
          <w:sz w:val="33"/>
          <w:szCs w:val="33"/>
          <w:lang w:val="zh-CN"/>
        </w:rPr>
      </w:pPr>
      <w:r>
        <w:rPr>
          <w:rFonts w:hint="eastAsia" w:ascii="仿宋" w:hAnsi="仿宋" w:eastAsia="仿宋" w:cs="仿宋"/>
          <w:sz w:val="32"/>
          <w:szCs w:val="32"/>
          <w:lang w:val="zh-CN"/>
        </w:rPr>
        <w:t>依据</w:t>
      </w:r>
      <w:r>
        <w:rPr>
          <w:rFonts w:hint="eastAsia" w:ascii="仿宋" w:hAnsi="仿宋" w:eastAsia="仿宋" w:cs="仿宋"/>
          <w:sz w:val="32"/>
          <w:szCs w:val="32"/>
          <w:lang w:val="en-US" w:eastAsia="zh-CN"/>
        </w:rPr>
        <w:t>财行【2014】2号文件</w:t>
      </w:r>
      <w:r>
        <w:rPr>
          <w:rFonts w:hint="eastAsia" w:ascii="仿宋" w:hAnsi="仿宋" w:eastAsia="仿宋" w:cs="仿宋"/>
          <w:sz w:val="32"/>
          <w:szCs w:val="32"/>
          <w:lang w:val="zh-CN"/>
        </w:rPr>
        <w:t>相关规定，对项目实施的具体情况进行了定期及不定期监督，确保项目实施规范</w:t>
      </w:r>
      <w:r>
        <w:rPr>
          <w:rFonts w:hint="eastAsia" w:eastAsia="方正仿宋_GBK"/>
          <w:sz w:val="33"/>
          <w:szCs w:val="33"/>
          <w:lang w:val="zh-CN"/>
        </w:rPr>
        <w:t>。</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40" w:firstLineChars="200"/>
        <w:rPr>
          <w:rFonts w:eastAsia="方正仿宋_GBK"/>
          <w:b/>
          <w:sz w:val="33"/>
          <w:szCs w:val="33"/>
          <w:lang w:val="zh-CN"/>
        </w:rPr>
      </w:pPr>
      <w:r>
        <w:rPr>
          <w:rFonts w:hint="eastAsia" w:ascii="仿宋" w:hAnsi="仿宋" w:eastAsia="仿宋" w:cs="仿宋"/>
          <w:sz w:val="32"/>
          <w:szCs w:val="32"/>
          <w:lang w:val="en-US" w:eastAsia="zh-CN"/>
        </w:rPr>
        <w:t>8个项目已按规定实施完成并通过验收7个，完成资金支付7个</w:t>
      </w:r>
      <w:r>
        <w:rPr>
          <w:rFonts w:hint="eastAsia" w:eastAsia="方正仿宋_GBK"/>
          <w:sz w:val="33"/>
          <w:szCs w:val="33"/>
          <w:lang w:val="zh-CN"/>
        </w:rPr>
        <w:t>。</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40" w:firstLineChars="200"/>
        <w:rPr>
          <w:rFonts w:eastAsia="方正仿宋_GBK"/>
          <w:sz w:val="33"/>
          <w:szCs w:val="33"/>
          <w:lang w:val="zh-CN"/>
        </w:rPr>
      </w:pPr>
      <w:r>
        <w:rPr>
          <w:rFonts w:hint="eastAsia" w:ascii="仿宋" w:hAnsi="仿宋" w:eastAsia="仿宋" w:cs="仿宋"/>
          <w:sz w:val="32"/>
          <w:szCs w:val="32"/>
          <w:lang w:val="zh-CN"/>
        </w:rPr>
        <w:t>项目社会效益、经济效益、可持续效益发展目标全面完成</w:t>
      </w:r>
      <w:r>
        <w:rPr>
          <w:rFonts w:hint="eastAsia" w:eastAsia="方正仿宋_GBK"/>
          <w:sz w:val="33"/>
          <w:szCs w:val="33"/>
          <w:lang w:val="zh-CN"/>
        </w:rPr>
        <w:t>。</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eastAsia="方正仿宋_GBK"/>
          <w:sz w:val="33"/>
          <w:szCs w:val="33"/>
          <w:bdr w:val="single" w:color="auto" w:sz="4" w:space="0"/>
          <w:lang w:val="zh-CN"/>
        </w:rPr>
      </w:pPr>
      <w:r>
        <w:rPr>
          <w:rFonts w:hint="eastAsia" w:ascii="仿宋" w:hAnsi="仿宋" w:eastAsia="仿宋" w:cs="仿宋"/>
          <w:sz w:val="33"/>
          <w:szCs w:val="33"/>
          <w:lang w:val="zh-CN"/>
        </w:rPr>
        <w:t>项目绩效目标申报科学合理，项目实施监控有效，项目各项目标绩效指标能按目标要求完成</w:t>
      </w:r>
      <w:r>
        <w:rPr>
          <w:rFonts w:hint="eastAsia" w:eastAsia="方正仿宋_GBK"/>
          <w:sz w:val="33"/>
          <w:szCs w:val="33"/>
          <w:lang w:val="zh-CN"/>
        </w:rPr>
        <w:t>。</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660" w:firstLineChars="200"/>
        <w:rPr>
          <w:rFonts w:eastAsia="方正楷体_GBK"/>
          <w:b/>
          <w:sz w:val="33"/>
          <w:szCs w:val="33"/>
          <w:lang w:val="zh-CN"/>
        </w:rPr>
      </w:pPr>
      <w:r>
        <w:rPr>
          <w:rFonts w:hint="eastAsia" w:eastAsia="方正楷体_GBK"/>
          <w:b/>
          <w:sz w:val="33"/>
          <w:szCs w:val="33"/>
          <w:lang w:val="zh-CN"/>
        </w:rPr>
        <w:t>（三）相关建议</w:t>
      </w:r>
    </w:p>
    <w:p>
      <w:pPr>
        <w:pStyle w:val="8"/>
        <w:ind w:firstLine="2560" w:firstLineChars="800"/>
        <w:rPr>
          <w:rFonts w:hint="eastAsia"/>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spacing w:line="580" w:lineRule="exact"/>
        <w:ind w:firstLine="2200" w:firstLineChars="500"/>
        <w:rPr>
          <w:rFonts w:hint="eastAsia" w:ascii="黑体" w:hAnsi="黑体" w:eastAsia="黑体"/>
          <w:color w:val="auto"/>
          <w:sz w:val="44"/>
          <w:szCs w:val="44"/>
          <w:highlight w:val="none"/>
        </w:rPr>
      </w:pPr>
      <w:bookmarkStart w:id="60" w:name="_Toc15396618"/>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580" w:lineRule="exac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tbl>
      <w:tblPr>
        <w:tblStyle w:val="13"/>
        <w:tblpPr w:leftFromText="180" w:rightFromText="180" w:vertAnchor="text" w:horzAnchor="page" w:tblpX="599" w:tblpY="638"/>
        <w:tblOverlap w:val="never"/>
        <w:tblW w:w="9960" w:type="dxa"/>
        <w:jc w:val="center"/>
        <w:tblLayout w:type="fixed"/>
        <w:tblCellMar>
          <w:top w:w="0" w:type="dxa"/>
          <w:left w:w="0" w:type="dxa"/>
          <w:bottom w:w="0" w:type="dxa"/>
          <w:right w:w="0" w:type="dxa"/>
        </w:tblCellMar>
      </w:tblPr>
      <w:tblGrid>
        <w:gridCol w:w="390"/>
        <w:gridCol w:w="1367"/>
        <w:gridCol w:w="1025"/>
        <w:gridCol w:w="2392"/>
        <w:gridCol w:w="1197"/>
        <w:gridCol w:w="1197"/>
        <w:gridCol w:w="597"/>
        <w:gridCol w:w="1795"/>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overflowPunct w:val="0"/>
              <w:adjustRightInd w:val="0"/>
              <w:snapToGrid w:val="0"/>
              <w:spacing w:line="590" w:lineRule="exact"/>
              <w:jc w:val="center"/>
              <w:rPr>
                <w:rFonts w:eastAsia="仿宋_GB2312"/>
                <w:b/>
                <w:bCs/>
                <w:sz w:val="32"/>
                <w:szCs w:val="32"/>
              </w:rPr>
            </w:pPr>
            <w:r>
              <w:rPr>
                <w:rFonts w:eastAsia="仿宋_GB2312"/>
                <w:b/>
                <w:bCs/>
                <w:sz w:val="32"/>
                <w:szCs w:val="32"/>
              </w:rPr>
              <w:t>2021年部门预算项目绩效目标自评表</w:t>
            </w:r>
          </w:p>
          <w:p>
            <w:pPr>
              <w:overflowPunct w:val="0"/>
              <w:adjustRightInd w:val="0"/>
              <w:snapToGrid w:val="0"/>
              <w:spacing w:line="590" w:lineRule="exact"/>
              <w:jc w:val="center"/>
              <w:rPr>
                <w:rFonts w:hint="eastAsia" w:ascii="仿宋" w:hAnsi="仿宋" w:eastAsia="仿宋" w:cs="仿宋_GB2312"/>
                <w:b/>
                <w:bCs/>
                <w:sz w:val="30"/>
                <w:szCs w:val="30"/>
              </w:rPr>
            </w:pPr>
            <w:r>
              <w:rPr>
                <w:rFonts w:hint="eastAsia" w:ascii="仿宋" w:hAnsi="仿宋" w:eastAsia="仿宋" w:cs="仿宋_GB2312"/>
                <w:b/>
                <w:bCs/>
                <w:sz w:val="30"/>
                <w:szCs w:val="30"/>
              </w:rPr>
              <w:t>办案经费项目绩效目标自评表</w:t>
            </w:r>
          </w:p>
          <w:p>
            <w:pPr>
              <w:widowControl/>
              <w:jc w:val="both"/>
              <w:textAlignment w:val="center"/>
              <w:rPr>
                <w:rFonts w:ascii="宋体" w:hAnsi="宋体" w:cs="宋体"/>
                <w:color w:val="000000"/>
                <w:sz w:val="36"/>
                <w:szCs w:val="36"/>
              </w:rPr>
            </w:pPr>
          </w:p>
        </w:tc>
      </w:tr>
      <w:tr>
        <w:tblPrEx>
          <w:tblCellMar>
            <w:top w:w="0" w:type="dxa"/>
            <w:left w:w="0" w:type="dxa"/>
            <w:bottom w:w="0" w:type="dxa"/>
            <w:right w:w="0" w:type="dxa"/>
          </w:tblCellMar>
        </w:tblPrEx>
        <w:trPr>
          <w:trHeight w:val="67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办案经费项目</w:t>
            </w:r>
          </w:p>
        </w:tc>
      </w:tr>
      <w:tr>
        <w:tblPrEx>
          <w:tblCellMar>
            <w:top w:w="0" w:type="dxa"/>
            <w:left w:w="0" w:type="dxa"/>
            <w:bottom w:w="0" w:type="dxa"/>
            <w:right w:w="0" w:type="dxa"/>
          </w:tblCellMar>
        </w:tblPrEx>
        <w:trPr>
          <w:trHeight w:val="80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kern w:val="0"/>
                <w:sz w:val="24"/>
              </w:rPr>
              <w:t>主管部门及代码</w:t>
            </w:r>
          </w:p>
        </w:tc>
        <w:tc>
          <w:tcPr>
            <w:tcW w:w="3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邻水县人民检察院</w:t>
            </w:r>
            <w:r>
              <w:rPr>
                <w:rFonts w:hint="eastAsia" w:ascii="宋体" w:hAnsi="宋体" w:cs="宋体"/>
                <w:color w:val="000000"/>
                <w:sz w:val="24"/>
                <w:szCs w:val="24"/>
                <w:lang w:val="en-US" w:eastAsia="zh-CN"/>
              </w:rPr>
              <w:t>126101</w:t>
            </w:r>
          </w:p>
        </w:tc>
        <w:tc>
          <w:tcPr>
            <w:tcW w:w="17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实施单位</w:t>
            </w:r>
          </w:p>
        </w:tc>
        <w:tc>
          <w:tcPr>
            <w:tcW w:w="1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邻水县人民检察院</w:t>
            </w:r>
          </w:p>
        </w:tc>
      </w:tr>
      <w:tr>
        <w:tblPrEx>
          <w:tblCellMar>
            <w:top w:w="0" w:type="dxa"/>
            <w:left w:w="0" w:type="dxa"/>
            <w:bottom w:w="0" w:type="dxa"/>
            <w:right w:w="0" w:type="dxa"/>
          </w:tblCellMar>
        </w:tblPrEx>
        <w:trPr>
          <w:trHeight w:val="53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highlight w:val="none"/>
                <w:u w:val="none"/>
                <w:lang w:val="en-US" w:eastAsia="zh-CN"/>
              </w:rPr>
              <w:t>443</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369.76</w:t>
            </w:r>
          </w:p>
        </w:tc>
      </w:tr>
      <w:tr>
        <w:tblPrEx>
          <w:tblCellMar>
            <w:top w:w="0" w:type="dxa"/>
            <w:left w:w="0" w:type="dxa"/>
            <w:bottom w:w="0" w:type="dxa"/>
            <w:right w:w="0" w:type="dxa"/>
          </w:tblCellMar>
        </w:tblPrEx>
        <w:trPr>
          <w:trHeight w:val="6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sz w:val="24"/>
                <w:szCs w:val="24"/>
                <w:highlight w:val="none"/>
                <w:u w:val="none"/>
                <w:lang w:val="en-US" w:eastAsia="zh-CN"/>
              </w:rPr>
              <w:t>443</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369.76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办理各类案件1200件左右</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完成省检察院正规化培训调训任务，参训率达80%</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完成省级以上主流媒体新闻刊（播）采用数量25篇，其中中央级媒体刊（播）上稿1篇</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认罪认罚刑事案件提出确定量刑建议率不低于70%</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量刑建议采纳率不低于80%、上诉率不高于4%</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刑事附带民事公益诉讼案件数达3件。</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0" w:leftChars="0"/>
              <w:jc w:val="left"/>
              <w:textAlignment w:val="top"/>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办理各类案件1572件</w:t>
            </w:r>
          </w:p>
          <w:p>
            <w:pPr>
              <w:pStyle w:val="8"/>
              <w:numPr>
                <w:ilvl w:val="0"/>
                <w:numId w:val="0"/>
              </w:numPr>
              <w:ind w:left="420" w:leftChars="0"/>
              <w:rPr>
                <w:rFonts w:hint="eastAsia" w:ascii="宋体" w:hAnsi="宋体" w:eastAsia="宋体" w:cs="宋体"/>
                <w:b w:val="0"/>
                <w:bCs/>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完成省检察院正规化培训调训任务，实际参训率达</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0%</w:t>
            </w:r>
          </w:p>
          <w:p>
            <w:pPr>
              <w:pStyle w:val="8"/>
              <w:numPr>
                <w:ilvl w:val="0"/>
                <w:numId w:val="0"/>
              </w:numPr>
              <w:ind w:left="420" w:leftChars="0"/>
              <w:rPr>
                <w:rFonts w:hint="eastAsia" w:ascii="宋体" w:hAnsi="宋体" w:eastAsia="宋体" w:cs="宋体"/>
                <w:b w:val="0"/>
                <w:bCs/>
                <w:sz w:val="24"/>
                <w:szCs w:val="24"/>
                <w:lang w:val="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zh-CN"/>
              </w:rPr>
              <w:t>省级以上主流媒体新闻刊40篇，中央媒体刊（播）上稿量10篇</w:t>
            </w:r>
          </w:p>
          <w:p>
            <w:pPr>
              <w:pStyle w:val="8"/>
              <w:numPr>
                <w:ilvl w:val="0"/>
                <w:numId w:val="0"/>
              </w:numPr>
              <w:ind w:left="420" w:leftChars="0"/>
              <w:rPr>
                <w:rFonts w:hint="eastAsia" w:ascii="宋体" w:hAnsi="宋体" w:eastAsia="宋体" w:cs="宋体"/>
                <w:b w:val="0"/>
                <w:bCs/>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批捕案件法定期限内审结率</w:t>
            </w:r>
            <w:r>
              <w:rPr>
                <w:rFonts w:hint="eastAsia" w:ascii="宋体" w:hAnsi="宋体" w:eastAsia="宋体" w:cs="宋体"/>
                <w:sz w:val="24"/>
                <w:szCs w:val="24"/>
                <w:lang w:val="en-US" w:eastAsia="zh-CN"/>
              </w:rPr>
              <w:t>100%</w:t>
            </w:r>
          </w:p>
          <w:p>
            <w:pPr>
              <w:numPr>
                <w:ilvl w:val="0"/>
                <w:numId w:val="0"/>
              </w:numPr>
              <w:ind w:left="420" w:leftChars="0"/>
              <w:rPr>
                <w:rFonts w:hint="eastAsia" w:ascii="宋体" w:hAnsi="宋体" w:eastAsia="宋体" w:cs="宋体"/>
                <w:sz w:val="24"/>
                <w:szCs w:val="24"/>
                <w:lang w:val="zh-CN"/>
              </w:rPr>
            </w:pPr>
            <w:r>
              <w:rPr>
                <w:rFonts w:hint="eastAsia" w:ascii="宋体" w:hAnsi="宋体" w:cs="宋体"/>
                <w:sz w:val="24"/>
                <w:szCs w:val="24"/>
                <w:lang w:val="en-US" w:eastAsia="zh-CN"/>
              </w:rPr>
              <w:t>5、</w:t>
            </w:r>
            <w:r>
              <w:rPr>
                <w:rFonts w:hint="eastAsia" w:ascii="宋体" w:hAnsi="宋体" w:eastAsia="宋体" w:cs="宋体"/>
                <w:sz w:val="24"/>
                <w:szCs w:val="24"/>
                <w:lang w:val="zh-CN"/>
              </w:rPr>
              <w:t>认罪认罚刑事案件提出确定量刑建议率为</w:t>
            </w:r>
            <w:r>
              <w:rPr>
                <w:rFonts w:hint="eastAsia" w:ascii="宋体" w:hAnsi="宋体" w:eastAsia="宋体" w:cs="宋体"/>
                <w:sz w:val="24"/>
                <w:szCs w:val="24"/>
                <w:lang w:val="en-US" w:eastAsia="zh-CN"/>
              </w:rPr>
              <w:t>96.3%</w:t>
            </w:r>
          </w:p>
          <w:p>
            <w:pPr>
              <w:pStyle w:val="8"/>
              <w:numPr>
                <w:ilvl w:val="0"/>
                <w:numId w:val="0"/>
              </w:numPr>
              <w:ind w:left="420" w:leftChars="0"/>
              <w:rPr>
                <w:rFonts w:hint="eastAsia" w:ascii="宋体" w:hAnsi="宋体" w:eastAsia="宋体" w:cs="宋体"/>
                <w:sz w:val="24"/>
                <w:szCs w:val="24"/>
                <w:lang w:val="zh-CN"/>
              </w:rPr>
            </w:pPr>
            <w:r>
              <w:rPr>
                <w:rFonts w:hint="eastAsia" w:ascii="宋体" w:hAnsi="宋体" w:cs="宋体"/>
                <w:sz w:val="24"/>
                <w:szCs w:val="24"/>
                <w:lang w:val="en-US" w:eastAsia="zh-CN"/>
              </w:rPr>
              <w:t>6、</w:t>
            </w:r>
            <w:r>
              <w:rPr>
                <w:rFonts w:hint="eastAsia" w:ascii="宋体" w:hAnsi="宋体" w:eastAsia="宋体" w:cs="宋体"/>
                <w:sz w:val="24"/>
                <w:szCs w:val="24"/>
                <w:lang w:val="zh-CN"/>
              </w:rPr>
              <w:t>量刑建议采纳率93.5%，量刑建议1.6%</w:t>
            </w:r>
          </w:p>
          <w:p>
            <w:pPr>
              <w:numPr>
                <w:ilvl w:val="0"/>
                <w:numId w:val="0"/>
              </w:numPr>
              <w:ind w:left="420" w:leftChars="0"/>
              <w:rPr>
                <w:rFonts w:hint="eastAsia" w:ascii="宋体" w:hAnsi="宋体" w:eastAsia="宋体" w:cs="宋体"/>
                <w:sz w:val="24"/>
                <w:szCs w:val="24"/>
                <w:lang w:val="en-US"/>
              </w:rPr>
            </w:pPr>
            <w:r>
              <w:rPr>
                <w:rFonts w:hint="eastAsia" w:ascii="宋体" w:hAnsi="宋体" w:cs="宋体"/>
                <w:sz w:val="24"/>
                <w:szCs w:val="24"/>
                <w:lang w:val="en-US" w:eastAsia="zh-CN"/>
              </w:rPr>
              <w:t>7、</w:t>
            </w:r>
            <w:r>
              <w:rPr>
                <w:rFonts w:hint="eastAsia" w:ascii="宋体" w:hAnsi="宋体" w:eastAsia="宋体" w:cs="宋体"/>
                <w:sz w:val="24"/>
                <w:szCs w:val="24"/>
                <w:lang w:val="zh-CN"/>
              </w:rPr>
              <w:t>刑事附带民事公益诉讼案件数完成3件</w:t>
            </w:r>
          </w:p>
          <w:p>
            <w:pP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办理各种业务案件总数</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1572件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批捕案件法定期限内审结率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案件办理期限</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无超期</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无超期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办案经费支出总额</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450</w:t>
            </w:r>
            <w:r>
              <w:rPr>
                <w:rFonts w:hint="eastAsia" w:ascii="宋体" w:hAnsi="宋体" w:eastAsia="宋体" w:cs="宋体"/>
                <w:i w:val="0"/>
                <w:color w:val="auto"/>
                <w:sz w:val="24"/>
                <w:szCs w:val="24"/>
                <w:highlight w:val="none"/>
                <w:u w:val="none"/>
              </w:rPr>
              <w:t>万元内</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369.76万元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提高办案工作质量与效率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促进司法工作，维护公平正义</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目标完成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≥90%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92%</w:t>
            </w:r>
          </w:p>
        </w:tc>
      </w:tr>
    </w:tbl>
    <w:p>
      <w:pPr>
        <w:ind w:firstLine="640" w:firstLineChars="200"/>
        <w:rPr>
          <w:rFonts w:hint="eastAsia" w:ascii="仿宋" w:hAnsi="仿宋" w:eastAsia="仿宋" w:cs="仿宋"/>
          <w:sz w:val="32"/>
          <w:szCs w:val="32"/>
          <w:lang w:val="en-US" w:eastAsia="zh-CN"/>
        </w:rPr>
      </w:pPr>
    </w:p>
    <w:tbl>
      <w:tblPr>
        <w:tblStyle w:val="13"/>
        <w:tblpPr w:leftFromText="180" w:rightFromText="180" w:vertAnchor="text" w:horzAnchor="page" w:tblpXSpec="center" w:tblpY="423"/>
        <w:tblOverlap w:val="never"/>
        <w:tblW w:w="12370" w:type="dxa"/>
        <w:jc w:val="center"/>
        <w:tblLayout w:type="fixed"/>
        <w:tblCellMar>
          <w:top w:w="0" w:type="dxa"/>
          <w:left w:w="0" w:type="dxa"/>
          <w:bottom w:w="0" w:type="dxa"/>
          <w:right w:w="0" w:type="dxa"/>
        </w:tblCellMar>
      </w:tblPr>
      <w:tblGrid>
        <w:gridCol w:w="670"/>
        <w:gridCol w:w="1087"/>
        <w:gridCol w:w="1025"/>
        <w:gridCol w:w="2392"/>
        <w:gridCol w:w="2392"/>
        <w:gridCol w:w="2"/>
        <w:gridCol w:w="2392"/>
        <w:gridCol w:w="2410"/>
      </w:tblGrid>
      <w:tr>
        <w:tblPrEx>
          <w:tblCellMar>
            <w:top w:w="0" w:type="dxa"/>
            <w:left w:w="0" w:type="dxa"/>
            <w:bottom w:w="0" w:type="dxa"/>
            <w:right w:w="0" w:type="dxa"/>
          </w:tblCellMar>
        </w:tblPrEx>
        <w:trPr>
          <w:gridAfter w:val="1"/>
          <w:wAfter w:w="2410" w:type="dxa"/>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overflowPunct w:val="0"/>
              <w:adjustRightInd w:val="0"/>
              <w:snapToGrid w:val="0"/>
              <w:spacing w:line="590" w:lineRule="exact"/>
              <w:jc w:val="center"/>
              <w:rPr>
                <w:rFonts w:eastAsia="仿宋_GB2312"/>
                <w:b/>
                <w:bCs/>
                <w:sz w:val="32"/>
                <w:szCs w:val="32"/>
              </w:rPr>
            </w:pPr>
            <w:r>
              <w:rPr>
                <w:rFonts w:eastAsia="仿宋_GB2312"/>
                <w:b/>
                <w:bCs/>
                <w:sz w:val="32"/>
                <w:szCs w:val="32"/>
              </w:rPr>
              <w:t>2021年部门预算项目绩效目标自评表</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i w:val="0"/>
                <w:color w:val="auto"/>
                <w:kern w:val="0"/>
                <w:sz w:val="24"/>
                <w:szCs w:val="24"/>
                <w:highlight w:val="none"/>
                <w:u w:val="none"/>
                <w:lang w:val="en-US" w:eastAsia="zh-CN" w:bidi="ar"/>
              </w:rPr>
              <w:t>2020年度司法改革绩效</w:t>
            </w:r>
            <w:r>
              <w:rPr>
                <w:rFonts w:hint="eastAsia" w:ascii="宋体" w:hAnsi="宋体" w:cs="宋体"/>
                <w:b/>
                <w:bCs/>
                <w:i w:val="0"/>
                <w:color w:val="auto"/>
                <w:kern w:val="0"/>
                <w:sz w:val="24"/>
                <w:szCs w:val="24"/>
                <w:highlight w:val="none"/>
                <w:u w:val="none"/>
                <w:lang w:val="en-US" w:eastAsia="zh-CN" w:bidi="ar"/>
              </w:rPr>
              <w:t>项目</w:t>
            </w:r>
            <w:r>
              <w:rPr>
                <w:rFonts w:hint="eastAsia" w:ascii="仿宋" w:hAnsi="仿宋" w:eastAsia="仿宋" w:cs="仿宋_GB2312"/>
                <w:b/>
                <w:bCs/>
                <w:sz w:val="30"/>
                <w:szCs w:val="30"/>
              </w:rPr>
              <w:t>绩效目标自评表</w:t>
            </w:r>
          </w:p>
        </w:tc>
      </w:tr>
      <w:tr>
        <w:tblPrEx>
          <w:tblCellMar>
            <w:top w:w="0" w:type="dxa"/>
            <w:left w:w="0" w:type="dxa"/>
            <w:bottom w:w="0" w:type="dxa"/>
            <w:right w:w="0" w:type="dxa"/>
          </w:tblCellMar>
        </w:tblPrEx>
        <w:trPr>
          <w:gridAfter w:val="1"/>
          <w:wAfter w:w="241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2020年度司法改革绩效项目</w:t>
            </w:r>
          </w:p>
        </w:tc>
      </w:tr>
      <w:tr>
        <w:tblPrEx>
          <w:tblCellMar>
            <w:top w:w="0" w:type="dxa"/>
            <w:left w:w="0" w:type="dxa"/>
            <w:bottom w:w="0" w:type="dxa"/>
            <w:right w:w="0" w:type="dxa"/>
          </w:tblCellMar>
        </w:tblPrEx>
        <w:trPr>
          <w:gridAfter w:val="1"/>
          <w:wAfter w:w="241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i w:val="0"/>
                <w:color w:val="auto"/>
                <w:sz w:val="24"/>
                <w:szCs w:val="24"/>
                <w:highlight w:val="none"/>
                <w:u w:val="none"/>
                <w:lang w:val="en-US" w:eastAsia="zh-CN"/>
              </w:rPr>
              <w:t>邻水县人民检察院</w:t>
            </w:r>
            <w:r>
              <w:rPr>
                <w:rFonts w:hint="eastAsia" w:ascii="宋体" w:hAnsi="宋体" w:cs="宋体"/>
                <w:i w:val="0"/>
                <w:color w:val="auto"/>
                <w:sz w:val="24"/>
                <w:szCs w:val="24"/>
                <w:highlight w:val="none"/>
                <w:u w:val="none"/>
                <w:lang w:val="en-US" w:eastAsia="zh-CN"/>
              </w:rPr>
              <w:t>126101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实施单位</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邻水县人民检察院</w:t>
            </w:r>
          </w:p>
        </w:tc>
      </w:tr>
      <w:tr>
        <w:tblPrEx>
          <w:tblCellMar>
            <w:top w:w="0" w:type="dxa"/>
            <w:left w:w="0" w:type="dxa"/>
            <w:bottom w:w="0" w:type="dxa"/>
            <w:right w:w="0" w:type="dxa"/>
          </w:tblCellMar>
        </w:tblPrEx>
        <w:trPr>
          <w:gridAfter w:val="1"/>
          <w:wAfter w:w="2410" w:type="dxa"/>
          <w:trHeight w:val="276" w:hRule="atLeast"/>
          <w:jc w:val="center"/>
        </w:trPr>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114.79</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114.79</w:t>
            </w:r>
          </w:p>
        </w:tc>
      </w:tr>
      <w:tr>
        <w:tblPrEx>
          <w:tblCellMar>
            <w:top w:w="0" w:type="dxa"/>
            <w:left w:w="0" w:type="dxa"/>
            <w:bottom w:w="0" w:type="dxa"/>
            <w:right w:w="0" w:type="dxa"/>
          </w:tblCellMar>
        </w:tblPrEx>
        <w:trPr>
          <w:gridAfter w:val="1"/>
          <w:wAfter w:w="2410" w:type="dxa"/>
          <w:trHeight w:val="276"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114.79</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114.79</w:t>
            </w:r>
          </w:p>
        </w:tc>
      </w:tr>
      <w:tr>
        <w:tblPrEx>
          <w:tblCellMar>
            <w:top w:w="0" w:type="dxa"/>
            <w:left w:w="0" w:type="dxa"/>
            <w:bottom w:w="0" w:type="dxa"/>
            <w:right w:w="0" w:type="dxa"/>
          </w:tblCellMar>
        </w:tblPrEx>
        <w:trPr>
          <w:gridAfter w:val="1"/>
          <w:wAfter w:w="2410" w:type="dxa"/>
          <w:trHeight w:val="1511"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2410" w:type="dxa"/>
          <w:trHeight w:val="276" w:hRule="atLeast"/>
          <w:jc w:val="center"/>
        </w:trPr>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5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gridAfter w:val="1"/>
          <w:wAfter w:w="2410" w:type="dxa"/>
          <w:trHeight w:val="1159" w:hRule="atLeast"/>
          <w:jc w:val="center"/>
        </w:trPr>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5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left"/>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为深入推进司法责任制改革，根据广安市委组织部广组通【2020】56号文件，对2020年司法绩效予以考核，支付绩效考核经费</w:t>
            </w:r>
            <w:r>
              <w:rPr>
                <w:rFonts w:hint="eastAsia" w:ascii="宋体" w:hAnsi="宋体" w:eastAsia="宋体" w:cs="宋体"/>
                <w:i w:val="0"/>
                <w:color w:val="auto"/>
                <w:sz w:val="24"/>
                <w:szCs w:val="24"/>
                <w:highlight w:val="none"/>
                <w:u w:val="none"/>
                <w:lang w:val="en-US" w:eastAsia="zh-CN"/>
              </w:rPr>
              <w:t>.</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sz w:val="24"/>
                <w:szCs w:val="24"/>
                <w:lang w:val="en-US"/>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已于2021年5月完成该项目资金支付</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0" w:type="dxa"/>
            <w:bottom w:w="0" w:type="dxa"/>
            <w:right w:w="0" w:type="dxa"/>
          </w:tblCellMar>
        </w:tblPrEx>
        <w:trPr>
          <w:gridAfter w:val="1"/>
          <w:wAfter w:w="2410" w:type="dxa"/>
          <w:trHeight w:val="953"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涉及司法绩效改革人数</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53人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53人</w:t>
            </w:r>
          </w:p>
        </w:tc>
      </w:tr>
      <w:tr>
        <w:tblPrEx>
          <w:tblCellMar>
            <w:top w:w="0" w:type="dxa"/>
            <w:left w:w="0" w:type="dxa"/>
            <w:bottom w:w="0" w:type="dxa"/>
            <w:right w:w="0" w:type="dxa"/>
          </w:tblCellMar>
        </w:tblPrEx>
        <w:trPr>
          <w:gridAfter w:val="1"/>
          <w:wAfter w:w="2410" w:type="dxa"/>
          <w:trHeight w:val="1297"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支付合规性</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完全合规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完全合规</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案件办理期限</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2021年6月30日前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2021年</w:t>
            </w:r>
            <w:r>
              <w:rPr>
                <w:rFonts w:hint="eastAsia" w:ascii="宋体" w:hAnsi="宋体" w:eastAsia="宋体" w:cs="宋体"/>
                <w:i w:val="0"/>
                <w:color w:val="auto"/>
                <w:sz w:val="24"/>
                <w:szCs w:val="24"/>
                <w:highlight w:val="none"/>
                <w:u w:val="none"/>
                <w:lang w:val="en-US" w:eastAsia="zh-CN"/>
              </w:rPr>
              <w:t>5</w:t>
            </w:r>
            <w:r>
              <w:rPr>
                <w:rFonts w:hint="eastAsia" w:ascii="宋体" w:hAnsi="宋体" w:eastAsia="宋体" w:cs="宋体"/>
                <w:i w:val="0"/>
                <w:color w:val="auto"/>
                <w:sz w:val="24"/>
                <w:szCs w:val="24"/>
                <w:highlight w:val="none"/>
                <w:u w:val="none"/>
              </w:rPr>
              <w:t>月3</w:t>
            </w:r>
            <w:r>
              <w:rPr>
                <w:rFonts w:hint="eastAsia" w:ascii="宋体" w:hAnsi="宋体" w:eastAsia="宋体" w:cs="宋体"/>
                <w:i w:val="0"/>
                <w:color w:val="auto"/>
                <w:sz w:val="24"/>
                <w:szCs w:val="24"/>
                <w:highlight w:val="none"/>
                <w:u w:val="none"/>
                <w:lang w:val="en-US" w:eastAsia="zh-CN"/>
              </w:rPr>
              <w:t>1</w:t>
            </w:r>
            <w:r>
              <w:rPr>
                <w:rFonts w:hint="eastAsia" w:ascii="宋体" w:hAnsi="宋体" w:eastAsia="宋体" w:cs="宋体"/>
                <w:i w:val="0"/>
                <w:color w:val="auto"/>
                <w:sz w:val="24"/>
                <w:szCs w:val="24"/>
                <w:highlight w:val="none"/>
                <w:u w:val="none"/>
              </w:rPr>
              <w:t>日前</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支出总额</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115万元内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11</w:t>
            </w:r>
            <w:r>
              <w:rPr>
                <w:rFonts w:hint="eastAsia" w:ascii="宋体" w:hAnsi="宋体" w:cs="宋体"/>
                <w:i w:val="0"/>
                <w:color w:val="auto"/>
                <w:sz w:val="24"/>
                <w:szCs w:val="24"/>
                <w:highlight w:val="none"/>
                <w:u w:val="none"/>
                <w:lang w:val="en-US" w:eastAsia="zh-CN"/>
              </w:rPr>
              <w:t>4.79</w:t>
            </w:r>
            <w:r>
              <w:rPr>
                <w:rFonts w:hint="eastAsia" w:ascii="宋体" w:hAnsi="宋体" w:eastAsia="宋体" w:cs="宋体"/>
                <w:i w:val="0"/>
                <w:color w:val="auto"/>
                <w:sz w:val="24"/>
                <w:szCs w:val="24"/>
                <w:highlight w:val="none"/>
                <w:u w:val="none"/>
                <w:lang w:val="en-US" w:eastAsia="zh-CN"/>
              </w:rPr>
              <w:t>万元</w:t>
            </w:r>
          </w:p>
        </w:tc>
      </w:tr>
      <w:tr>
        <w:tblPrEx>
          <w:tblCellMar>
            <w:top w:w="0" w:type="dxa"/>
            <w:left w:w="0" w:type="dxa"/>
            <w:bottom w:w="0" w:type="dxa"/>
            <w:right w:w="0" w:type="dxa"/>
          </w:tblCellMar>
        </w:tblPrEx>
        <w:trPr>
          <w:gridAfter w:val="1"/>
          <w:wAfter w:w="2410" w:type="dxa"/>
          <w:trHeight w:val="1042" w:hRule="atLeast"/>
          <w:jc w:val="center"/>
        </w:trPr>
        <w:tc>
          <w:tcPr>
            <w:tcW w:w="6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司法责任制改革推进有力</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达到相关要求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达到相关要求</w:t>
            </w:r>
          </w:p>
        </w:tc>
      </w:tr>
      <w:tr>
        <w:tblPrEx>
          <w:tblCellMar>
            <w:top w:w="0" w:type="dxa"/>
            <w:left w:w="0" w:type="dxa"/>
            <w:bottom w:w="0" w:type="dxa"/>
            <w:right w:w="0" w:type="dxa"/>
          </w:tblCellMar>
        </w:tblPrEx>
        <w:trPr>
          <w:trHeight w:val="1050" w:hRule="atLeast"/>
          <w:jc w:val="center"/>
        </w:trPr>
        <w:tc>
          <w:tcPr>
            <w:tcW w:w="6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w:t>
            </w:r>
            <w:r>
              <w:rPr>
                <w:rFonts w:hint="eastAsia" w:ascii="宋体" w:hAnsi="宋体" w:eastAsia="宋体" w:cs="宋体"/>
                <w:i w:val="0"/>
                <w:color w:val="auto"/>
                <w:sz w:val="24"/>
                <w:szCs w:val="24"/>
                <w:highlight w:val="none"/>
                <w:u w:val="none"/>
                <w:lang w:val="en-US" w:eastAsia="zh-CN"/>
              </w:rPr>
              <w:t>80</w:t>
            </w:r>
            <w:r>
              <w:rPr>
                <w:rFonts w:hint="eastAsia" w:ascii="宋体" w:hAnsi="宋体" w:eastAsia="宋体" w:cs="宋体"/>
                <w:i w:val="0"/>
                <w:color w:val="auto"/>
                <w:sz w:val="24"/>
                <w:szCs w:val="24"/>
                <w:highlight w:val="none"/>
                <w:u w:val="none"/>
              </w:rPr>
              <w:t>%</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sz w:val="21"/>
                <w:szCs w:val="21"/>
                <w:highlight w:val="none"/>
                <w:u w:val="none"/>
                <w:lang w:val="en-US" w:eastAsia="zh-CN"/>
              </w:rPr>
              <w:t>90%</w:t>
            </w:r>
          </w:p>
        </w:tc>
      </w:tr>
    </w:tbl>
    <w:p>
      <w:pPr>
        <w:pStyle w:val="2"/>
        <w:rPr>
          <w:rFonts w:hint="eastAsia"/>
          <w:lang w:val="en-US" w:eastAsia="zh-CN"/>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2"/>
        <w:gridCol w:w="2"/>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overflowPunct w:val="0"/>
              <w:adjustRightInd w:val="0"/>
              <w:snapToGrid w:val="0"/>
              <w:spacing w:line="590" w:lineRule="exact"/>
              <w:jc w:val="center"/>
              <w:rPr>
                <w:rFonts w:eastAsia="仿宋_GB2312"/>
                <w:b/>
                <w:bCs/>
                <w:sz w:val="32"/>
                <w:szCs w:val="32"/>
              </w:rPr>
            </w:pPr>
          </w:p>
          <w:p>
            <w:pPr>
              <w:overflowPunct w:val="0"/>
              <w:adjustRightInd w:val="0"/>
              <w:snapToGrid w:val="0"/>
              <w:spacing w:line="590" w:lineRule="exact"/>
              <w:jc w:val="center"/>
              <w:rPr>
                <w:rFonts w:eastAsia="仿宋_GB2312"/>
                <w:b/>
                <w:bCs/>
                <w:sz w:val="32"/>
                <w:szCs w:val="32"/>
              </w:rPr>
            </w:pPr>
            <w:r>
              <w:rPr>
                <w:rFonts w:eastAsia="仿宋_GB2312"/>
                <w:b/>
                <w:bCs/>
                <w:sz w:val="32"/>
                <w:szCs w:val="32"/>
              </w:rPr>
              <w:t>2021年部门预算项目绩效目标自评表</w:t>
            </w:r>
          </w:p>
          <w:p>
            <w:pPr>
              <w:widowControl/>
              <w:jc w:val="center"/>
              <w:textAlignment w:val="center"/>
              <w:rPr>
                <w:rFonts w:ascii="宋体" w:hAnsi="宋体" w:cs="宋体"/>
                <w:color w:val="000000"/>
                <w:sz w:val="36"/>
                <w:szCs w:val="36"/>
              </w:rPr>
            </w:pPr>
            <w:r>
              <w:rPr>
                <w:rFonts w:hint="eastAsia" w:ascii="仿宋" w:hAnsi="仿宋" w:eastAsia="仿宋" w:cs="仿宋_GB2312"/>
                <w:b/>
                <w:bCs/>
                <w:sz w:val="30"/>
                <w:szCs w:val="30"/>
                <w:lang w:eastAsia="zh-CN"/>
              </w:rPr>
              <w:t>业务装备购置项目</w:t>
            </w:r>
            <w:r>
              <w:rPr>
                <w:rFonts w:hint="eastAsia" w:ascii="仿宋" w:hAnsi="仿宋" w:eastAsia="仿宋" w:cs="仿宋_GB2312"/>
                <w:b/>
                <w:bCs/>
                <w:sz w:val="30"/>
                <w:szCs w:val="30"/>
              </w:rPr>
              <w:t>绩效目标自评表</w:t>
            </w:r>
          </w:p>
        </w:tc>
      </w:tr>
      <w:tr>
        <w:tblPrEx>
          <w:tblCellMar>
            <w:top w:w="0" w:type="dxa"/>
            <w:left w:w="0" w:type="dxa"/>
            <w:bottom w:w="0" w:type="dxa"/>
            <w:right w:w="0" w:type="dxa"/>
          </w:tblCellMar>
        </w:tblPrEx>
        <w:trPr>
          <w:trHeight w:val="75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eastAsia="zh-CN"/>
              </w:rPr>
              <w:t>业务装备购置</w:t>
            </w:r>
            <w:r>
              <w:rPr>
                <w:rFonts w:hint="eastAsia" w:ascii="宋体" w:hAnsi="宋体" w:eastAsia="宋体" w:cs="宋体"/>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color w:val="auto"/>
                <w:sz w:val="24"/>
                <w:szCs w:val="24"/>
                <w:highlight w:val="none"/>
                <w:u w:val="none"/>
                <w:lang w:val="en-US" w:eastAsia="zh-CN"/>
              </w:rPr>
              <w:t>邻水县人民检察院</w:t>
            </w:r>
            <w:r>
              <w:rPr>
                <w:rFonts w:hint="eastAsia" w:ascii="宋体" w:hAnsi="宋体" w:cs="宋体"/>
                <w:i w:val="0"/>
                <w:color w:val="auto"/>
                <w:sz w:val="24"/>
                <w:szCs w:val="24"/>
                <w:highlight w:val="none"/>
                <w:u w:val="none"/>
                <w:lang w:val="en-US" w:eastAsia="zh-CN"/>
              </w:rPr>
              <w:t>126101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实施单位</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邻水县人民检察院</w:t>
            </w:r>
          </w:p>
        </w:tc>
      </w:tr>
      <w:tr>
        <w:tblPrEx>
          <w:tblCellMar>
            <w:top w:w="0" w:type="dxa"/>
            <w:left w:w="0" w:type="dxa"/>
            <w:bottom w:w="0" w:type="dxa"/>
            <w:right w:w="0" w:type="dxa"/>
          </w:tblCellMar>
        </w:tblPrEx>
        <w:trPr>
          <w:trHeight w:val="57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w:t>
            </w:r>
          </w:p>
        </w:tc>
      </w:tr>
      <w:tr>
        <w:tblPrEx>
          <w:tblCellMar>
            <w:top w:w="0" w:type="dxa"/>
            <w:left w:w="0" w:type="dxa"/>
            <w:bottom w:w="0" w:type="dxa"/>
            <w:right w:w="0" w:type="dxa"/>
          </w:tblCellMar>
        </w:tblPrEx>
        <w:trPr>
          <w:trHeight w:val="65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ind w:left="420" w:leftChars="0"/>
              <w:jc w:val="both"/>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完成听证室建设</w:t>
            </w:r>
          </w:p>
          <w:p>
            <w:pPr>
              <w:pStyle w:val="2"/>
              <w:numPr>
                <w:ilvl w:val="0"/>
                <w:numId w:val="0"/>
              </w:numPr>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2、支付公益诉讼快速检测实验室建设应分摊的费用</w:t>
            </w:r>
          </w:p>
          <w:p>
            <w:pPr>
              <w:pStyle w:val="2"/>
              <w:numPr>
                <w:ilvl w:val="0"/>
                <w:numId w:val="0"/>
              </w:numPr>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3、完成网络一体化建设</w:t>
            </w:r>
          </w:p>
          <w:p>
            <w:pPr>
              <w:pStyle w:val="2"/>
              <w:numPr>
                <w:ilvl w:val="0"/>
                <w:numId w:val="0"/>
              </w:numPr>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4、完成63名检察人员的夏季服装换装</w:t>
            </w:r>
          </w:p>
          <w:p>
            <w:pPr>
              <w:pStyle w:val="2"/>
              <w:numPr>
                <w:ilvl w:val="0"/>
                <w:numId w:val="0"/>
              </w:numPr>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5、支付业务装备运行维修费、网络维护费、网络分级保护尾款</w:t>
            </w:r>
          </w:p>
          <w:p>
            <w:pPr>
              <w:pStyle w:val="2"/>
              <w:numPr>
                <w:ilvl w:val="0"/>
                <w:numId w:val="0"/>
              </w:numPr>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6、购置案卷装订机一台</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除第</w:t>
            </w:r>
            <w:r>
              <w:rPr>
                <w:rFonts w:hint="eastAsia" w:ascii="宋体" w:hAnsi="宋体" w:eastAsia="宋体" w:cs="宋体"/>
                <w:color w:val="000000"/>
                <w:sz w:val="24"/>
                <w:szCs w:val="24"/>
                <w:lang w:val="en-US" w:eastAsia="zh-CN"/>
              </w:rPr>
              <w:t>1项外，其他全部完成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实际完成指标值()</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完成项目建设个数</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项目建设规范性</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规范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项目完成期限</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2021年12月底前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8个项目中有7个完成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项目支出总额</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不超过</w:t>
            </w:r>
            <w:r>
              <w:rPr>
                <w:rFonts w:hint="eastAsia" w:ascii="宋体" w:hAnsi="宋体" w:eastAsia="宋体" w:cs="宋体"/>
                <w:color w:val="000000"/>
                <w:sz w:val="24"/>
                <w:szCs w:val="24"/>
                <w:lang w:val="en-US" w:eastAsia="zh-CN"/>
              </w:rPr>
              <w:t>128万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81.91万元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社会效益指标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促进司法工作，维护公平正义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目标完成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eastAsia="zh-CN"/>
              </w:rPr>
              <w:t>干警满意度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w:t>
            </w:r>
            <w:r>
              <w:rPr>
                <w:rFonts w:hint="eastAsia" w:ascii="宋体" w:hAnsi="宋体" w:eastAsia="宋体" w:cs="宋体"/>
                <w:i w:val="0"/>
                <w:color w:val="auto"/>
                <w:sz w:val="24"/>
                <w:szCs w:val="24"/>
                <w:highlight w:val="none"/>
                <w:u w:val="none"/>
                <w:lang w:val="en-US" w:eastAsia="zh-CN"/>
              </w:rPr>
              <w:t>85</w:t>
            </w:r>
            <w:r>
              <w:rPr>
                <w:rFonts w:hint="eastAsia" w:ascii="宋体" w:hAnsi="宋体" w:eastAsia="宋体" w:cs="宋体"/>
                <w:i w:val="0"/>
                <w:color w:val="auto"/>
                <w:sz w:val="24"/>
                <w:szCs w:val="24"/>
                <w:highlight w:val="none"/>
                <w:u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89%</w:t>
            </w:r>
          </w:p>
        </w:tc>
      </w:tr>
    </w:tbl>
    <w:p>
      <w:pPr>
        <w:spacing w:line="580" w:lineRule="exact"/>
        <w:ind w:firstLine="2200" w:firstLineChars="500"/>
        <w:rPr>
          <w:rFonts w:hint="eastAsia" w:ascii="黑体" w:hAnsi="黑体" w:eastAsia="黑体"/>
          <w:color w:val="auto"/>
          <w:sz w:val="44"/>
          <w:szCs w:val="44"/>
          <w:highlight w:val="none"/>
        </w:rPr>
      </w:pPr>
    </w:p>
    <w:p>
      <w:pPr>
        <w:spacing w:line="580" w:lineRule="exact"/>
        <w:ind w:firstLine="2200" w:firstLineChars="500"/>
        <w:rPr>
          <w:rFonts w:hint="eastAsia" w:ascii="黑体" w:hAnsi="黑体" w:eastAsia="黑体"/>
          <w:color w:val="auto"/>
          <w:sz w:val="44"/>
          <w:szCs w:val="44"/>
          <w:highlight w:val="none"/>
        </w:rPr>
      </w:pPr>
    </w:p>
    <w:p>
      <w:pPr>
        <w:spacing w:line="580" w:lineRule="exact"/>
        <w:ind w:firstLine="2200" w:firstLineChars="500"/>
        <w:rPr>
          <w:rFonts w:hint="eastAsia" w:ascii="黑体" w:hAnsi="黑体" w:eastAsia="黑体"/>
          <w:color w:val="auto"/>
          <w:sz w:val="44"/>
          <w:szCs w:val="44"/>
          <w:highlight w:val="none"/>
        </w:rPr>
      </w:pPr>
    </w:p>
    <w:p>
      <w:pPr>
        <w:spacing w:line="580" w:lineRule="exact"/>
        <w:ind w:firstLine="2200" w:firstLineChars="500"/>
        <w:rPr>
          <w:rFonts w:hint="eastAsia" w:ascii="黑体" w:hAnsi="黑体" w:eastAsia="黑体"/>
          <w:color w:val="auto"/>
          <w:sz w:val="44"/>
          <w:szCs w:val="44"/>
          <w:highlight w:val="none"/>
        </w:rPr>
      </w:pPr>
    </w:p>
    <w:p>
      <w:pPr>
        <w:spacing w:line="580" w:lineRule="exact"/>
        <w:rPr>
          <w:rFonts w:hint="eastAsia" w:ascii="黑体" w:hAnsi="黑体" w:eastAsia="黑体"/>
          <w:color w:val="auto"/>
          <w:sz w:val="44"/>
          <w:szCs w:val="44"/>
          <w:highlight w:val="none"/>
        </w:rPr>
      </w:pPr>
    </w:p>
    <w:p>
      <w:pPr>
        <w:numPr>
          <w:ilvl w:val="0"/>
          <w:numId w:val="13"/>
        </w:numPr>
        <w:spacing w:line="580" w:lineRule="exact"/>
        <w:ind w:firstLine="2200" w:firstLineChars="500"/>
        <w:rPr>
          <w:rStyle w:val="26"/>
          <w:rFonts w:hint="eastAsia" w:ascii="黑体" w:hAnsi="黑体" w:eastAsia="黑体"/>
          <w:b w:val="0"/>
          <w:color w:val="auto"/>
          <w:highlight w:val="none"/>
        </w:rPr>
      </w:pPr>
      <w:r>
        <w:rPr>
          <w:rStyle w:val="26"/>
          <w:rFonts w:hint="eastAsia" w:ascii="黑体" w:hAnsi="黑体" w:eastAsia="黑体"/>
          <w:b w:val="0"/>
          <w:color w:val="auto"/>
          <w:highlight w:val="none"/>
        </w:rPr>
        <w:t>附表</w:t>
      </w:r>
      <w:bookmarkEnd w:id="58"/>
      <w:bookmarkEnd w:id="60"/>
      <w:bookmarkStart w:id="61" w:name="_Toc15396619"/>
    </w:p>
    <w:p>
      <w:pPr>
        <w:numPr>
          <w:ilvl w:val="0"/>
          <w:numId w:val="14"/>
        </w:numPr>
        <w:spacing w:line="580" w:lineRule="exact"/>
        <w:ind w:left="0" w:leftChars="0" w:firstLine="0" w:firstLineChars="0"/>
        <w:rPr>
          <w:rStyle w:val="27"/>
          <w:rFonts w:hint="eastAsia" w:ascii="仿宋" w:hAnsi="仿宋" w:eastAsia="仿宋"/>
          <w:b w:val="0"/>
          <w:bCs w:val="0"/>
          <w:color w:val="auto"/>
          <w:highlight w:val="none"/>
          <w:lang w:val="en-US" w:eastAsia="zh-CN"/>
        </w:rPr>
      </w:pPr>
      <w:r>
        <w:rPr>
          <w:rStyle w:val="27"/>
          <w:rFonts w:hint="eastAsia" w:ascii="仿宋" w:hAnsi="仿宋" w:eastAsia="仿宋"/>
          <w:b w:val="0"/>
          <w:bCs w:val="0"/>
          <w:color w:val="auto"/>
          <w:highlight w:val="none"/>
          <w:lang w:val="en-US" w:eastAsia="zh-CN"/>
        </w:rPr>
        <w:t>收入支出决算总表</w:t>
      </w:r>
      <w:bookmarkEnd w:id="61"/>
      <w:bookmarkStart w:id="62" w:name="_Toc15396620"/>
    </w:p>
    <w:p>
      <w:pPr>
        <w:numPr>
          <w:ilvl w:val="0"/>
          <w:numId w:val="14"/>
        </w:numPr>
        <w:spacing w:line="580" w:lineRule="exact"/>
        <w:ind w:left="0" w:leftChars="0" w:firstLine="0" w:firstLineChars="0"/>
        <w:rPr>
          <w:rStyle w:val="27"/>
          <w:rFonts w:hint="eastAsia" w:ascii="仿宋" w:hAnsi="仿宋" w:eastAsia="仿宋"/>
          <w:b w:val="0"/>
          <w:bCs w:val="0"/>
          <w:color w:val="auto"/>
          <w:highlight w:val="none"/>
          <w:lang w:val="en-US" w:eastAsia="zh-CN"/>
        </w:rPr>
      </w:pPr>
      <w:r>
        <w:rPr>
          <w:rStyle w:val="27"/>
          <w:rFonts w:hint="eastAsia" w:ascii="仿宋" w:hAnsi="仿宋" w:eastAsia="仿宋"/>
          <w:b w:val="0"/>
          <w:bCs w:val="0"/>
          <w:color w:val="auto"/>
          <w:highlight w:val="none"/>
          <w:lang w:val="en-US" w:eastAsia="zh-CN"/>
        </w:rPr>
        <w:t>收入决算表</w:t>
      </w:r>
      <w:bookmarkEnd w:id="62"/>
      <w:bookmarkStart w:id="63" w:name="_Toc15396621"/>
    </w:p>
    <w:p>
      <w:pPr>
        <w:numPr>
          <w:ilvl w:val="0"/>
          <w:numId w:val="14"/>
        </w:numPr>
        <w:spacing w:line="580" w:lineRule="exact"/>
        <w:ind w:left="0" w:leftChars="0" w:firstLine="0" w:firstLineChars="0"/>
        <w:rPr>
          <w:rStyle w:val="27"/>
          <w:rFonts w:hint="eastAsia" w:ascii="仿宋" w:hAnsi="仿宋" w:eastAsia="仿宋"/>
          <w:b w:val="0"/>
          <w:bCs w:val="0"/>
          <w:color w:val="auto"/>
          <w:highlight w:val="none"/>
          <w:lang w:val="en-US" w:eastAsia="zh-CN"/>
        </w:rPr>
      </w:pPr>
      <w:r>
        <w:rPr>
          <w:rStyle w:val="27"/>
          <w:rFonts w:hint="eastAsia" w:ascii="仿宋" w:hAnsi="仿宋" w:eastAsia="仿宋"/>
          <w:b w:val="0"/>
          <w:bCs w:val="0"/>
          <w:color w:val="auto"/>
          <w:highlight w:val="none"/>
          <w:lang w:val="en-US" w:eastAsia="zh-CN"/>
        </w:rPr>
        <w:t>支出决算表</w:t>
      </w:r>
      <w:bookmarkEnd w:id="63"/>
      <w:bookmarkStart w:id="64" w:name="_Toc15396622"/>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财政</w:t>
      </w:r>
      <w:r>
        <w:rPr>
          <w:rStyle w:val="27"/>
          <w:rFonts w:hint="eastAsia" w:ascii="仿宋" w:hAnsi="仿宋" w:eastAsia="仿宋"/>
          <w:b w:val="0"/>
          <w:bCs w:val="0"/>
          <w:color w:val="auto"/>
          <w:highlight w:val="none"/>
        </w:rPr>
        <w:t>拨款收入支出决算总表</w:t>
      </w:r>
      <w:bookmarkEnd w:id="64"/>
      <w:bookmarkStart w:id="65" w:name="_Toc15396623"/>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财</w:t>
      </w:r>
      <w:r>
        <w:rPr>
          <w:rStyle w:val="27"/>
          <w:rFonts w:hint="eastAsia" w:ascii="仿宋" w:hAnsi="仿宋" w:eastAsia="仿宋"/>
          <w:b w:val="0"/>
          <w:bCs w:val="0"/>
          <w:color w:val="auto"/>
          <w:highlight w:val="none"/>
        </w:rPr>
        <w:t>政拨款支出决算明细表</w:t>
      </w:r>
      <w:bookmarkEnd w:id="65"/>
      <w:bookmarkStart w:id="66" w:name="_Toc15396624"/>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一</w:t>
      </w:r>
      <w:r>
        <w:rPr>
          <w:rStyle w:val="27"/>
          <w:rFonts w:hint="eastAsia" w:ascii="仿宋" w:hAnsi="仿宋" w:eastAsia="仿宋"/>
          <w:b w:val="0"/>
          <w:bCs w:val="0"/>
          <w:color w:val="auto"/>
          <w:highlight w:val="none"/>
        </w:rPr>
        <w:t>般公共预算财政拨款支出决算表</w:t>
      </w:r>
      <w:bookmarkEnd w:id="66"/>
      <w:bookmarkStart w:id="67" w:name="_Toc15396625"/>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一</w:t>
      </w:r>
      <w:r>
        <w:rPr>
          <w:rStyle w:val="27"/>
          <w:rFonts w:hint="eastAsia" w:ascii="仿宋" w:hAnsi="仿宋" w:eastAsia="仿宋"/>
          <w:b w:val="0"/>
          <w:bCs w:val="0"/>
          <w:color w:val="auto"/>
          <w:highlight w:val="none"/>
        </w:rPr>
        <w:t>般公共预算财政拨款支出决算明细表</w:t>
      </w:r>
      <w:bookmarkEnd w:id="67"/>
      <w:bookmarkStart w:id="68" w:name="_Toc15396626"/>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一</w:t>
      </w:r>
      <w:r>
        <w:rPr>
          <w:rStyle w:val="27"/>
          <w:rFonts w:hint="eastAsia" w:ascii="仿宋" w:hAnsi="仿宋" w:eastAsia="仿宋"/>
          <w:b w:val="0"/>
          <w:bCs w:val="0"/>
          <w:color w:val="auto"/>
          <w:highlight w:val="none"/>
        </w:rPr>
        <w:t>般公共预算财政拨款基本支出决算表</w:t>
      </w:r>
      <w:bookmarkEnd w:id="68"/>
      <w:bookmarkStart w:id="69" w:name="_Toc15396627"/>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一</w:t>
      </w:r>
      <w:r>
        <w:rPr>
          <w:rStyle w:val="27"/>
          <w:rFonts w:hint="eastAsia" w:ascii="仿宋" w:hAnsi="仿宋" w:eastAsia="仿宋"/>
          <w:b w:val="0"/>
          <w:bCs w:val="0"/>
          <w:color w:val="auto"/>
          <w:highlight w:val="none"/>
        </w:rPr>
        <w:t>般公共预算财政拨款项目支出决算表</w:t>
      </w:r>
      <w:bookmarkEnd w:id="69"/>
      <w:bookmarkStart w:id="70" w:name="_Toc15396628"/>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70"/>
      <w:bookmarkStart w:id="71" w:name="_Toc15396629"/>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政府</w:t>
      </w:r>
      <w:r>
        <w:rPr>
          <w:rStyle w:val="27"/>
          <w:rFonts w:hint="eastAsia" w:ascii="仿宋" w:hAnsi="仿宋" w:eastAsia="仿宋"/>
          <w:b w:val="0"/>
          <w:bCs w:val="0"/>
          <w:color w:val="auto"/>
          <w:highlight w:val="none"/>
        </w:rPr>
        <w:t>性基金预算财政拨款收入支出决算表</w:t>
      </w:r>
      <w:bookmarkEnd w:id="71"/>
      <w:bookmarkStart w:id="72" w:name="_Toc15396630"/>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政府</w:t>
      </w:r>
      <w:r>
        <w:rPr>
          <w:rStyle w:val="27"/>
          <w:rFonts w:hint="eastAsia" w:ascii="仿宋" w:hAnsi="仿宋" w:eastAsia="仿宋"/>
          <w:b w:val="0"/>
          <w:bCs w:val="0"/>
          <w:color w:val="auto"/>
          <w:highlight w:val="none"/>
        </w:rPr>
        <w:t>性基金预算财政拨款“三公”经费支出决算表</w:t>
      </w:r>
      <w:bookmarkEnd w:id="72"/>
      <w:bookmarkStart w:id="73" w:name="_Toc15396631"/>
    </w:p>
    <w:p>
      <w:pPr>
        <w:numPr>
          <w:ilvl w:val="0"/>
          <w:numId w:val="14"/>
        </w:numPr>
        <w:spacing w:line="580" w:lineRule="exact"/>
        <w:ind w:left="0" w:leftChars="0" w:firstLine="0" w:firstLineChars="0"/>
        <w:rPr>
          <w:rStyle w:val="27"/>
          <w:rFonts w:hint="eastAsia" w:ascii="仿宋" w:hAnsi="仿宋" w:eastAsia="仿宋"/>
          <w:b w:val="0"/>
          <w:bCs w:val="0"/>
          <w:color w:val="auto"/>
          <w:highlight w:val="none"/>
        </w:rPr>
      </w:pPr>
      <w:r>
        <w:rPr>
          <w:rStyle w:val="27"/>
          <w:rFonts w:hint="eastAsia" w:ascii="仿宋" w:hAnsi="仿宋" w:eastAsia="仿宋"/>
          <w:b w:val="0"/>
          <w:bCs w:val="0"/>
          <w:color w:val="auto"/>
          <w:highlight w:val="none"/>
          <w:lang w:val="en-US" w:eastAsia="zh-CN"/>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3"/>
    </w:p>
    <w:p>
      <w:pPr>
        <w:numPr>
          <w:ilvl w:val="0"/>
          <w:numId w:val="0"/>
        </w:numPr>
        <w:spacing w:line="580" w:lineRule="exact"/>
        <w:ind w:leftChars="0"/>
        <w:rPr>
          <w:rFonts w:hint="eastAsia"/>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MicrosoftYaHei">
    <w:altName w:val="Segoe Print"/>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FEC73"/>
    <w:multiLevelType w:val="singleLevel"/>
    <w:tmpl w:val="821FEC73"/>
    <w:lvl w:ilvl="0" w:tentative="0">
      <w:start w:val="1"/>
      <w:numFmt w:val="decimal"/>
      <w:suff w:val="nothing"/>
      <w:lvlText w:val="%1、"/>
      <w:lvlJc w:val="left"/>
    </w:lvl>
  </w:abstractNum>
  <w:abstractNum w:abstractNumId="1">
    <w:nsid w:val="8C82E128"/>
    <w:multiLevelType w:val="singleLevel"/>
    <w:tmpl w:val="8C82E128"/>
    <w:lvl w:ilvl="0" w:tentative="0">
      <w:start w:val="1"/>
      <w:numFmt w:val="chineseCounting"/>
      <w:suff w:val="nothing"/>
      <w:lvlText w:val="（%1）"/>
      <w:lvlJc w:val="left"/>
      <w:rPr>
        <w:rFonts w:hint="eastAsia"/>
      </w:rPr>
    </w:lvl>
  </w:abstractNum>
  <w:abstractNum w:abstractNumId="2">
    <w:nsid w:val="9214F70C"/>
    <w:multiLevelType w:val="singleLevel"/>
    <w:tmpl w:val="9214F70C"/>
    <w:lvl w:ilvl="0" w:tentative="0">
      <w:start w:val="7"/>
      <w:numFmt w:val="chineseCounting"/>
      <w:suff w:val="nothing"/>
      <w:lvlText w:val="%1、"/>
      <w:lvlJc w:val="left"/>
      <w:rPr>
        <w:rFonts w:hint="eastAsia"/>
      </w:rPr>
    </w:lvl>
  </w:abstractNum>
  <w:abstractNum w:abstractNumId="3">
    <w:nsid w:val="93DDE76C"/>
    <w:multiLevelType w:val="singleLevel"/>
    <w:tmpl w:val="93DDE76C"/>
    <w:lvl w:ilvl="0" w:tentative="0">
      <w:start w:val="2"/>
      <w:numFmt w:val="decimal"/>
      <w:suff w:val="nothing"/>
      <w:lvlText w:val="%1．"/>
      <w:lvlJc w:val="left"/>
      <w:pPr>
        <w:ind w:left="180"/>
      </w:pPr>
    </w:lvl>
  </w:abstractNum>
  <w:abstractNum w:abstractNumId="4">
    <w:nsid w:val="F3704A68"/>
    <w:multiLevelType w:val="singleLevel"/>
    <w:tmpl w:val="F3704A68"/>
    <w:lvl w:ilvl="0" w:tentative="0">
      <w:start w:val="2"/>
      <w:numFmt w:val="decimal"/>
      <w:suff w:val="nothing"/>
      <w:lvlText w:val="%1．"/>
      <w:lvlJc w:val="left"/>
    </w:lvl>
  </w:abstractNum>
  <w:abstractNum w:abstractNumId="5">
    <w:nsid w:val="F7910584"/>
    <w:multiLevelType w:val="singleLevel"/>
    <w:tmpl w:val="F7910584"/>
    <w:lvl w:ilvl="0" w:tentative="0">
      <w:start w:val="2"/>
      <w:numFmt w:val="decimal"/>
      <w:suff w:val="nothing"/>
      <w:lvlText w:val="%1．"/>
      <w:lvlJc w:val="left"/>
    </w:lvl>
  </w:abstractNum>
  <w:abstractNum w:abstractNumId="6">
    <w:nsid w:val="0B297621"/>
    <w:multiLevelType w:val="singleLevel"/>
    <w:tmpl w:val="0B297621"/>
    <w:lvl w:ilvl="0" w:tentative="0">
      <w:start w:val="2"/>
      <w:numFmt w:val="decimal"/>
      <w:suff w:val="nothing"/>
      <w:lvlText w:val="%1．"/>
      <w:lvlJc w:val="left"/>
    </w:lvl>
  </w:abstractNum>
  <w:abstractNum w:abstractNumId="7">
    <w:nsid w:val="0CB082D4"/>
    <w:multiLevelType w:val="singleLevel"/>
    <w:tmpl w:val="0CB082D4"/>
    <w:lvl w:ilvl="0" w:tentative="0">
      <w:start w:val="2"/>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52611C3"/>
    <w:multiLevelType w:val="singleLevel"/>
    <w:tmpl w:val="152611C3"/>
    <w:lvl w:ilvl="0" w:tentative="0">
      <w:start w:val="1"/>
      <w:numFmt w:val="chineseCounting"/>
      <w:suff w:val="nothing"/>
      <w:lvlText w:val="%1、"/>
      <w:lvlJc w:val="left"/>
      <w:rPr>
        <w:rFonts w:hint="eastAsia"/>
      </w:rPr>
    </w:lvl>
  </w:abstractNum>
  <w:abstractNum w:abstractNumId="10">
    <w:nsid w:val="1FC6F1A3"/>
    <w:multiLevelType w:val="singleLevel"/>
    <w:tmpl w:val="1FC6F1A3"/>
    <w:lvl w:ilvl="0" w:tentative="0">
      <w:start w:val="1"/>
      <w:numFmt w:val="decimal"/>
      <w:suff w:val="nothing"/>
      <w:lvlText w:val="%1、"/>
      <w:lvlJc w:val="left"/>
      <w:pPr>
        <w:ind w:left="420"/>
      </w:pPr>
    </w:lvl>
  </w:abstractNum>
  <w:abstractNum w:abstractNumId="11">
    <w:nsid w:val="3E974DED"/>
    <w:multiLevelType w:val="singleLevel"/>
    <w:tmpl w:val="3E974DED"/>
    <w:lvl w:ilvl="0" w:tentative="0">
      <w:start w:val="5"/>
      <w:numFmt w:val="chineseCounting"/>
      <w:suff w:val="space"/>
      <w:lvlText w:val="第%1部分"/>
      <w:lvlJc w:val="left"/>
      <w:rPr>
        <w:rFonts w:hint="eastAsia"/>
      </w:rPr>
    </w:lvl>
  </w:abstractNum>
  <w:abstractNum w:abstractNumId="12">
    <w:nsid w:val="62EB746D"/>
    <w:multiLevelType w:val="singleLevel"/>
    <w:tmpl w:val="62EB746D"/>
    <w:lvl w:ilvl="0" w:tentative="0">
      <w:start w:val="1"/>
      <w:numFmt w:val="decimal"/>
      <w:suff w:val="nothing"/>
      <w:lvlText w:val="%1、"/>
      <w:lvlJc w:val="left"/>
      <w:pPr>
        <w:ind w:left="420"/>
      </w:pPr>
    </w:lvl>
  </w:abstractNum>
  <w:abstractNum w:abstractNumId="13">
    <w:nsid w:val="79D7EEB2"/>
    <w:multiLevelType w:val="singleLevel"/>
    <w:tmpl w:val="79D7EEB2"/>
    <w:lvl w:ilvl="0" w:tentative="0">
      <w:start w:val="1"/>
      <w:numFmt w:val="decimal"/>
      <w:lvlText w:val="%1."/>
      <w:lvlJc w:val="left"/>
      <w:pPr>
        <w:tabs>
          <w:tab w:val="left" w:pos="312"/>
        </w:tabs>
      </w:pPr>
    </w:lvl>
  </w:abstractNum>
  <w:num w:numId="1">
    <w:abstractNumId w:val="8"/>
  </w:num>
  <w:num w:numId="2">
    <w:abstractNumId w:val="2"/>
  </w:num>
  <w:num w:numId="3">
    <w:abstractNumId w:val="13"/>
  </w:num>
  <w:num w:numId="4">
    <w:abstractNumId w:val="10"/>
  </w:num>
  <w:num w:numId="5">
    <w:abstractNumId w:val="12"/>
  </w:num>
  <w:num w:numId="6">
    <w:abstractNumId w:val="7"/>
  </w:num>
  <w:num w:numId="7">
    <w:abstractNumId w:val="3"/>
  </w:num>
  <w:num w:numId="8">
    <w:abstractNumId w:val="6"/>
  </w:num>
  <w:num w:numId="9">
    <w:abstractNumId w:val="4"/>
  </w:num>
  <w:num w:numId="10">
    <w:abstractNumId w:val="5"/>
  </w:num>
  <w:num w:numId="11">
    <w:abstractNumId w:val="1"/>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jEwN2I2OTBiN2UzNzU3ZGZmNDE3MzAzYjI0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1955"/>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F70AA"/>
    <w:rsid w:val="016043AA"/>
    <w:rsid w:val="01BF2DBB"/>
    <w:rsid w:val="03833270"/>
    <w:rsid w:val="03FD3580"/>
    <w:rsid w:val="053D7FEC"/>
    <w:rsid w:val="066E0107"/>
    <w:rsid w:val="06E971DE"/>
    <w:rsid w:val="06FD3ECB"/>
    <w:rsid w:val="07996F6E"/>
    <w:rsid w:val="07C678BB"/>
    <w:rsid w:val="0A2032A3"/>
    <w:rsid w:val="0AD84599"/>
    <w:rsid w:val="0CF561CD"/>
    <w:rsid w:val="0D7F02AE"/>
    <w:rsid w:val="0D83647D"/>
    <w:rsid w:val="0F6E3832"/>
    <w:rsid w:val="101860EC"/>
    <w:rsid w:val="101F1A35"/>
    <w:rsid w:val="107E68DE"/>
    <w:rsid w:val="10C055FF"/>
    <w:rsid w:val="10D95F27"/>
    <w:rsid w:val="10F94AA3"/>
    <w:rsid w:val="118107EC"/>
    <w:rsid w:val="11E64E8E"/>
    <w:rsid w:val="12597320"/>
    <w:rsid w:val="12624760"/>
    <w:rsid w:val="13073991"/>
    <w:rsid w:val="13D50BC4"/>
    <w:rsid w:val="14301CC2"/>
    <w:rsid w:val="143B29EF"/>
    <w:rsid w:val="147B0AA7"/>
    <w:rsid w:val="149324F2"/>
    <w:rsid w:val="149C3F05"/>
    <w:rsid w:val="160339C2"/>
    <w:rsid w:val="167A0BA5"/>
    <w:rsid w:val="16BB723D"/>
    <w:rsid w:val="18507132"/>
    <w:rsid w:val="1A1B00FF"/>
    <w:rsid w:val="1BB5542C"/>
    <w:rsid w:val="1BE8440E"/>
    <w:rsid w:val="1D155CEE"/>
    <w:rsid w:val="1E5375B2"/>
    <w:rsid w:val="1E86399A"/>
    <w:rsid w:val="2073342B"/>
    <w:rsid w:val="21C878C9"/>
    <w:rsid w:val="22425034"/>
    <w:rsid w:val="227920A4"/>
    <w:rsid w:val="23860B96"/>
    <w:rsid w:val="23EB7FF4"/>
    <w:rsid w:val="240371BF"/>
    <w:rsid w:val="242F3DD2"/>
    <w:rsid w:val="273753B5"/>
    <w:rsid w:val="27723B5D"/>
    <w:rsid w:val="29FD04D3"/>
    <w:rsid w:val="2A1707EA"/>
    <w:rsid w:val="2A2C7D36"/>
    <w:rsid w:val="2AB7478C"/>
    <w:rsid w:val="2B2800F6"/>
    <w:rsid w:val="2B762B5B"/>
    <w:rsid w:val="2BBF6313"/>
    <w:rsid w:val="2C8A61B5"/>
    <w:rsid w:val="2DD2022D"/>
    <w:rsid w:val="2DF04E50"/>
    <w:rsid w:val="2F7A7CD8"/>
    <w:rsid w:val="30C34F2E"/>
    <w:rsid w:val="30FD3E91"/>
    <w:rsid w:val="319F7F4E"/>
    <w:rsid w:val="320662F4"/>
    <w:rsid w:val="328D3E75"/>
    <w:rsid w:val="33346287"/>
    <w:rsid w:val="34056B80"/>
    <w:rsid w:val="34405CA5"/>
    <w:rsid w:val="34547634"/>
    <w:rsid w:val="357C6EC6"/>
    <w:rsid w:val="36321C56"/>
    <w:rsid w:val="36AA5135"/>
    <w:rsid w:val="37206A52"/>
    <w:rsid w:val="37E16F03"/>
    <w:rsid w:val="38001508"/>
    <w:rsid w:val="38613F89"/>
    <w:rsid w:val="3A87079F"/>
    <w:rsid w:val="3AB25DFB"/>
    <w:rsid w:val="3B17761A"/>
    <w:rsid w:val="3B680C68"/>
    <w:rsid w:val="3CA9508B"/>
    <w:rsid w:val="3CCA02B2"/>
    <w:rsid w:val="3D294FD4"/>
    <w:rsid w:val="3D98207C"/>
    <w:rsid w:val="3F07436F"/>
    <w:rsid w:val="3F7C6515"/>
    <w:rsid w:val="3FDE1713"/>
    <w:rsid w:val="404A5FA7"/>
    <w:rsid w:val="416F5968"/>
    <w:rsid w:val="44E268DA"/>
    <w:rsid w:val="45192E74"/>
    <w:rsid w:val="48381621"/>
    <w:rsid w:val="4871715C"/>
    <w:rsid w:val="4A627F82"/>
    <w:rsid w:val="4B4F25DA"/>
    <w:rsid w:val="4B817A63"/>
    <w:rsid w:val="4BD27220"/>
    <w:rsid w:val="4BE068DB"/>
    <w:rsid w:val="4BF2686D"/>
    <w:rsid w:val="4D3A726F"/>
    <w:rsid w:val="4D577224"/>
    <w:rsid w:val="4D890640"/>
    <w:rsid w:val="4DB87237"/>
    <w:rsid w:val="4E4D3E56"/>
    <w:rsid w:val="4E5225EE"/>
    <w:rsid w:val="4E934412"/>
    <w:rsid w:val="4EAB630A"/>
    <w:rsid w:val="4ECE2238"/>
    <w:rsid w:val="4EDE199B"/>
    <w:rsid w:val="4F021BCA"/>
    <w:rsid w:val="50646F84"/>
    <w:rsid w:val="51B7313F"/>
    <w:rsid w:val="51F408BF"/>
    <w:rsid w:val="5718774E"/>
    <w:rsid w:val="578C4E96"/>
    <w:rsid w:val="58F235E0"/>
    <w:rsid w:val="5A9C04DE"/>
    <w:rsid w:val="5AB32912"/>
    <w:rsid w:val="5AF92295"/>
    <w:rsid w:val="5B1958CE"/>
    <w:rsid w:val="5B584D37"/>
    <w:rsid w:val="5BE00F06"/>
    <w:rsid w:val="5BEF05B4"/>
    <w:rsid w:val="5CD71FC4"/>
    <w:rsid w:val="5EE3336B"/>
    <w:rsid w:val="5F420CDD"/>
    <w:rsid w:val="601C3588"/>
    <w:rsid w:val="607669F1"/>
    <w:rsid w:val="60FC2713"/>
    <w:rsid w:val="610203EF"/>
    <w:rsid w:val="6110049B"/>
    <w:rsid w:val="61F54FFE"/>
    <w:rsid w:val="62C304B3"/>
    <w:rsid w:val="639826A5"/>
    <w:rsid w:val="67BC2E06"/>
    <w:rsid w:val="683F6653"/>
    <w:rsid w:val="684624FD"/>
    <w:rsid w:val="694A4441"/>
    <w:rsid w:val="69DF712C"/>
    <w:rsid w:val="6A132A85"/>
    <w:rsid w:val="6A204710"/>
    <w:rsid w:val="6AB52BDD"/>
    <w:rsid w:val="6C4A05C8"/>
    <w:rsid w:val="6C5C78B0"/>
    <w:rsid w:val="6CAD71C1"/>
    <w:rsid w:val="6CB86D23"/>
    <w:rsid w:val="6D7D18AB"/>
    <w:rsid w:val="6D8A5754"/>
    <w:rsid w:val="6D9764FF"/>
    <w:rsid w:val="6E7E3605"/>
    <w:rsid w:val="6EE86523"/>
    <w:rsid w:val="6F03254B"/>
    <w:rsid w:val="6FBB6FAD"/>
    <w:rsid w:val="6FF5CC65"/>
    <w:rsid w:val="70853442"/>
    <w:rsid w:val="715C0E4B"/>
    <w:rsid w:val="716F16BF"/>
    <w:rsid w:val="722E3615"/>
    <w:rsid w:val="72734D90"/>
    <w:rsid w:val="728C5ACB"/>
    <w:rsid w:val="72B0557D"/>
    <w:rsid w:val="73AD73D5"/>
    <w:rsid w:val="73B6EB34"/>
    <w:rsid w:val="763148E5"/>
    <w:rsid w:val="785913A2"/>
    <w:rsid w:val="78FB47A8"/>
    <w:rsid w:val="79EB49A3"/>
    <w:rsid w:val="79EE5BA4"/>
    <w:rsid w:val="7A5B0D31"/>
    <w:rsid w:val="7A894339"/>
    <w:rsid w:val="7B38059E"/>
    <w:rsid w:val="7DE56E84"/>
    <w:rsid w:val="7ED015BF"/>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next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page number"/>
    <w:basedOn w:val="14"/>
    <w:qFormat/>
    <w:uiPriority w:val="99"/>
    <w:rPr>
      <w:rFonts w:cs="Times New Roman"/>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p0"/>
    <w:qFormat/>
    <w:uiPriority w:val="0"/>
    <w:pPr>
      <w:widowControl/>
      <w:jc w:val="both"/>
    </w:pPr>
    <w:rPr>
      <w:rFonts w:hint="eastAsia" w:ascii="Times New Roman" w:hAnsi="Times New Roman" w:eastAsia="宋体" w:cs="Times New Roman"/>
      <w:kern w:val="2"/>
      <w:sz w:val="21"/>
      <w:szCs w:val="24"/>
      <w:lang w:val="en-US" w:eastAsia="zh-CN" w:bidi="ar-SA"/>
    </w:rPr>
  </w:style>
  <w:style w:type="paragraph" w:customStyle="1" w:styleId="33">
    <w:name w:val="四号正文"/>
    <w:basedOn w:val="1"/>
    <w:qFormat/>
    <w:uiPriority w:val="99"/>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www.wps.cn/officeDocument/2018/webExtension" Target="webExtensions/webExtension2.xml"/><Relationship Id="rId7" Type="http://schemas.openxmlformats.org/officeDocument/2006/relationships/image" Target="media/image1.png"/><Relationship Id="rId6" Type="http://www.wps.cn/officeDocument/2018/webExtension" Target="webExtensions/webExtension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image" Target="media/image5.png"/><Relationship Id="rId17" Type="http://www.wps.cn/officeDocument/2018/webExtension" Target="webExtensions/webExtension5.xml"/><Relationship Id="rId16" Type="http://schemas.openxmlformats.org/officeDocument/2006/relationships/image" Target="media/image4.png"/><Relationship Id="rId15" Type="http://www.wps.cn/officeDocument/2018/webExtension" Target="webExtensions/webExtension4.xml"/><Relationship Id="rId14" Type="http://schemas.openxmlformats.org/officeDocument/2006/relationships/chart" Target="charts/chart3.xml"/><Relationship Id="rId13" Type="http://schemas.openxmlformats.org/officeDocument/2006/relationships/image" Target="media/image3.png"/><Relationship Id="rId12" Type="http://www.wps.cn/officeDocument/2018/webExtension" Target="webExtensions/webExtension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5" Type="http://schemas.microsoft.com/office/2011/relationships/chartColorStyle" Target="colors3.xml"/><Relationship Id="rId4" Type="http://schemas.microsoft.com/office/2011/relationships/chartStyle" Target="style3.xml"/><Relationship Id="rId3" Type="http://schemas.openxmlformats.org/officeDocument/2006/relationships/image" Target="../media/image6.png"/><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6.png"/><Relationship Id="rId2" Type="http://schemas.openxmlformats.org/officeDocument/2006/relationships/themeOverride" Target="../theme/themeOverrid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en-US" altLang="zh-CN"/>
              <a:t>2021</a:t>
            </a:r>
            <a:r>
              <a:rPr altLang="en-US"/>
              <a:t>年支出情况</a:t>
            </a:r>
            <a:endParaRPr lang="en-US" altLang="zh-CN"/>
          </a:p>
        </c:rich>
      </c:tx>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[工作簿1]Sheet1!$B$26:$B$28</c:f>
              <c:strCache>
                <c:ptCount val="3"/>
                <c:pt idx="1">
                  <c:v>其中：基本支出</c:v>
                </c:pt>
                <c:pt idx="2">
                  <c:v>项目支出</c:v>
                </c:pt>
              </c:strCache>
            </c:strRef>
          </c:cat>
          <c:val>
            <c:numRef>
              <c:f>[工作簿1]Sheet1!$C$26:$C$28</c:f>
              <c:numCache>
                <c:formatCode>General</c:formatCode>
                <c:ptCount val="3"/>
                <c:pt idx="1">
                  <c:v>1422.9</c:v>
                </c:pt>
                <c:pt idx="2">
                  <c:v>443.87</c:v>
                </c:pt>
              </c:numCache>
            </c:numRef>
          </c:val>
        </c:ser>
        <c:ser>
          <c:idx val="1"/>
          <c:order val="1"/>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[工作簿1]Sheet1!$B$26:$B$28</c:f>
              <c:strCache>
                <c:ptCount val="3"/>
                <c:pt idx="1">
                  <c:v>其中：基本支出</c:v>
                </c:pt>
                <c:pt idx="2">
                  <c:v>项目支出</c:v>
                </c:pt>
              </c:strCache>
            </c:strRef>
          </c:cat>
          <c:val>
            <c:numRef>
              <c:f>[工作簿1]Sheet1!$D$26:$D$28</c:f>
              <c:numCache>
                <c:formatCode>General</c:formatCode>
                <c:ptCount val="3"/>
                <c:pt idx="1" c:formatCode="0.00%">
                  <c:v>0.762</c:v>
                </c:pt>
                <c:pt idx="2" c:formatCode="0.00%">
                  <c:v>0.2378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[工作簿1]Sheet1!$E$33:$E$34</c:f>
              <c:strCache>
                <c:ptCount val="2"/>
                <c:pt idx="0">
                  <c:v>2021年财政拨款收、支总计</c:v>
                </c:pt>
                <c:pt idx="1">
                  <c:v>2020年财政拨款收、支总计</c:v>
                </c:pt>
              </c:strCache>
            </c:strRef>
          </c:cat>
          <c:val>
            <c:numRef>
              <c:f>[工作簿1]Sheet1!$F$33:$F$34</c:f>
              <c:numCache>
                <c:formatCode>General</c:formatCode>
                <c:ptCount val="2"/>
                <c:pt idx="0">
                  <c:v>1990.12</c:v>
                </c:pt>
                <c:pt idx="1">
                  <c:v>1853.29</c:v>
                </c:pt>
              </c:numCache>
            </c:numRef>
          </c:val>
        </c:ser>
        <c:dLbls>
          <c:showLegendKey val="0"/>
          <c:showVal val="0"/>
          <c:showCatName val="0"/>
          <c:showSerName val="0"/>
          <c:showPercent val="0"/>
          <c:showBubbleSize val="0"/>
        </c:dLbls>
        <c:gapWidth val="150"/>
        <c:overlap val="100"/>
        <c:axId val="240883306"/>
        <c:axId val="516400560"/>
      </c:barChart>
      <c:catAx>
        <c:axId val="2408833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400560"/>
        <c:crosses val="autoZero"/>
        <c:auto val="1"/>
        <c:lblAlgn val="ctr"/>
        <c:lblOffset val="100"/>
        <c:noMultiLvlLbl val="0"/>
      </c:catAx>
      <c:valAx>
        <c:axId val="51640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08833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标题</a:t>
            </a:r>
            <a:endParaRPr lang="zh-CN" altLang="en-US"/>
          </a:p>
        </c:rich>
      </c:tx>
      <c:layout/>
      <c:overlay val="0"/>
      <c:spPr>
        <a:noFill/>
        <a:ln>
          <a:noFill/>
        </a:ln>
        <a:effectLst/>
      </c:spPr>
    </c:title>
    <c:autoTitleDeleted val="0"/>
    <c:plotArea>
      <c:layout>
        <c:manualLayout>
          <c:layoutTarget val="inner"/>
          <c:xMode val="edge"/>
          <c:yMode val="edge"/>
          <c:x val="0.293016666666667"/>
          <c:y val="0.155787037037037"/>
          <c:w val="0.420494444444444"/>
          <c:h val="0.700824074074074"/>
        </c:manualLayout>
      </c:layout>
      <c:pieChart>
        <c:varyColors val="1"/>
        <c:ser>
          <c:idx val="0"/>
          <c:order val="0"/>
          <c:tx>
            <c:strRef>
              <c:f>[工作簿1]Sheet1!$B$4</c:f>
              <c:strCache>
                <c:ptCount val="1"/>
                <c:pt idx="0">
                  <c:v>支出金额</c:v>
                </c:pt>
              </c:strCache>
            </c:strRef>
          </c:tx>
          <c:spPr>
            <a:effectLst>
              <a:outerShdw blurRad="63500" sx="102000" sy="102000" algn="ctr" rotWithShape="0">
                <a:prstClr val="black">
                  <a:alpha val="40000"/>
                </a:prstClr>
              </a:outerShdw>
            </a:effectLst>
          </c:spPr>
          <c:explosion val="0"/>
          <c:dPt>
            <c:idx val="0"/>
            <c:bubble3D val="0"/>
            <c:spPr>
              <a:solidFill>
                <a:srgbClr val="FFA80E"/>
              </a:solidFill>
              <a:ln w="19050">
                <a:solidFill>
                  <a:schemeClr val="lt1"/>
                </a:solidFill>
              </a:ln>
              <a:effectLst>
                <a:outerShdw blurRad="63500" sx="102000" sy="102000" algn="ctr" rotWithShape="0">
                  <a:prstClr val="black">
                    <a:alpha val="40000"/>
                  </a:prstClr>
                </a:outerShdw>
              </a:effectLst>
            </c:spPr>
          </c:dPt>
          <c:dPt>
            <c:idx val="1"/>
            <c:bubble3D val="0"/>
            <c:spPr>
              <a:solidFill>
                <a:srgbClr val="56627E"/>
              </a:solidFill>
              <a:ln w="19050">
                <a:solidFill>
                  <a:schemeClr val="lt1"/>
                </a:solidFill>
              </a:ln>
              <a:effectLst>
                <a:outerShdw blurRad="63500" sx="102000" sy="102000" algn="ctr" rotWithShape="0">
                  <a:prstClr val="black">
                    <a:alpha val="40000"/>
                  </a:prstClr>
                </a:outerShdw>
              </a:effectLst>
            </c:spPr>
          </c:dPt>
          <c:dPt>
            <c:idx val="2"/>
            <c:bubble3D val="0"/>
            <c:spPr>
              <a:solidFill>
                <a:srgbClr val="C6D6F6"/>
              </a:solidFill>
              <a:ln w="19050">
                <a:solidFill>
                  <a:schemeClr val="lt1"/>
                </a:solidFill>
              </a:ln>
              <a:effectLst>
                <a:outerShdw blurRad="63500" sx="102000" sy="102000" algn="ctr" rotWithShape="0">
                  <a:prstClr val="black">
                    <a:alpha val="40000"/>
                  </a:prstClr>
                </a:outerShdw>
              </a:effectLst>
            </c:spPr>
          </c:dPt>
          <c:dPt>
            <c:idx val="3"/>
            <c:bubble3D val="0"/>
            <c:spPr>
              <a:solidFill>
                <a:srgbClr val="8296BE"/>
              </a:solidFill>
              <a:ln w="19050">
                <a:solidFill>
                  <a:schemeClr val="lt1"/>
                </a:solidFill>
              </a:ln>
              <a:effectLst>
                <a:outerShdw blurRad="63500" sx="102000" sy="102000" algn="ctr"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[工作簿1]Sheet1!$A$5:$A$8</c:f>
              <c:strCache>
                <c:ptCount val="4"/>
                <c:pt idx="0">
                  <c:v>公共安全支出</c:v>
                </c:pt>
                <c:pt idx="1">
                  <c:v>社会保障和就业支出</c:v>
                </c:pt>
                <c:pt idx="2">
                  <c:v>卫生健康支出</c:v>
                </c:pt>
                <c:pt idx="3">
                  <c:v>住房保障支出</c:v>
                </c:pt>
              </c:strCache>
            </c:strRef>
          </c:cat>
          <c:val>
            <c:numRef>
              <c:f>[工作簿1]Sheet1!$B$5:$B$8</c:f>
              <c:numCache>
                <c:formatCode>General</c:formatCode>
                <c:ptCount val="4"/>
                <c:pt idx="0">
                  <c:v>1586.66</c:v>
                </c:pt>
                <c:pt idx="1">
                  <c:v>161.88</c:v>
                </c:pt>
                <c:pt idx="2">
                  <c:v>29.55</c:v>
                </c:pt>
                <c:pt idx="3">
                  <c:v>88.68</c:v>
                </c:pt>
              </c:numCache>
            </c:numRef>
          </c:val>
        </c:ser>
        <c:ser>
          <c:idx val="1"/>
          <c:order val="1"/>
          <c:tx>
            <c:strRef>
              <c:f>[工作簿1]Sheet1!$C$4</c:f>
              <c:strCache>
                <c:ptCount val="1"/>
                <c:pt idx="0">
                  <c:v>占比</c:v>
                </c:pt>
              </c:strCache>
            </c:strRef>
          </c:tx>
          <c:spPr>
            <a:effectLst>
              <a:outerShdw blurRad="63500" sx="102000" sy="102000" algn="ctr" rotWithShape="0">
                <a:prstClr val="black">
                  <a:alpha val="40000"/>
                </a:prstClr>
              </a:outerShdw>
            </a:effectLst>
          </c:spPr>
          <c:explosion val="0"/>
          <c:dPt>
            <c:idx val="0"/>
            <c:bubble3D val="0"/>
            <c:spPr>
              <a:solidFill>
                <a:srgbClr val="FFA80E"/>
              </a:solidFill>
              <a:ln w="19050">
                <a:solidFill>
                  <a:schemeClr val="lt1"/>
                </a:solidFill>
              </a:ln>
              <a:effectLst>
                <a:outerShdw blurRad="63500" sx="102000" sy="102000" algn="ctr" rotWithShape="0">
                  <a:prstClr val="black">
                    <a:alpha val="40000"/>
                  </a:prstClr>
                </a:outerShdw>
              </a:effectLst>
            </c:spPr>
          </c:dPt>
          <c:dPt>
            <c:idx val="1"/>
            <c:bubble3D val="0"/>
            <c:spPr>
              <a:solidFill>
                <a:srgbClr val="56627E"/>
              </a:solidFill>
              <a:ln w="19050">
                <a:solidFill>
                  <a:schemeClr val="lt1"/>
                </a:solidFill>
              </a:ln>
              <a:effectLst>
                <a:outerShdw blurRad="63500" sx="102000" sy="102000" algn="ctr" rotWithShape="0">
                  <a:prstClr val="black">
                    <a:alpha val="40000"/>
                  </a:prstClr>
                </a:outerShdw>
              </a:effectLst>
            </c:spPr>
          </c:dPt>
          <c:dPt>
            <c:idx val="2"/>
            <c:bubble3D val="0"/>
            <c:spPr>
              <a:solidFill>
                <a:srgbClr val="C6D6F6"/>
              </a:solidFill>
              <a:ln w="19050">
                <a:solidFill>
                  <a:schemeClr val="lt1"/>
                </a:solidFill>
              </a:ln>
              <a:effectLst>
                <a:outerShdw blurRad="63500" sx="102000" sy="102000" algn="ctr" rotWithShape="0">
                  <a:prstClr val="black">
                    <a:alpha val="40000"/>
                  </a:prstClr>
                </a:outerShdw>
              </a:effectLst>
            </c:spPr>
          </c:dPt>
          <c:dPt>
            <c:idx val="3"/>
            <c:bubble3D val="0"/>
            <c:spPr>
              <a:solidFill>
                <a:srgbClr val="8296BE"/>
              </a:solidFill>
              <a:ln w="19050">
                <a:solidFill>
                  <a:schemeClr val="lt1"/>
                </a:solidFill>
              </a:ln>
              <a:effectLst>
                <a:outerShdw blurRad="63500" sx="102000" sy="102000" algn="ctr"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[工作簿1]Sheet1!$A$5:$A$8</c:f>
              <c:strCache>
                <c:ptCount val="4"/>
                <c:pt idx="0">
                  <c:v>公共安全支出</c:v>
                </c:pt>
                <c:pt idx="1">
                  <c:v>社会保障和就业支出</c:v>
                </c:pt>
                <c:pt idx="2">
                  <c:v>卫生健康支出</c:v>
                </c:pt>
                <c:pt idx="3">
                  <c:v>住房保障支出</c:v>
                </c:pt>
              </c:strCache>
            </c:strRef>
          </c:cat>
          <c:val>
            <c:numRef>
              <c:f>[工作簿1]Sheet1!$C$5:$C$8</c:f>
              <c:numCache>
                <c:formatCode>0.00%</c:formatCode>
                <c:ptCount val="4"/>
                <c:pt idx="0">
                  <c:v>0.8499</c:v>
                </c:pt>
                <c:pt idx="1">
                  <c:v>0.0867</c:v>
                </c:pt>
                <c:pt idx="2">
                  <c:v>0.0158</c:v>
                </c:pt>
                <c:pt idx="3">
                  <c:v>0.0476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标题</a:t>
            </a:r>
            <a:endParaRPr lang="zh-CN" altLang="en-US"/>
          </a:p>
        </c:rich>
      </c:tx>
      <c:layout/>
      <c:overlay val="0"/>
      <c:spPr>
        <a:noFill/>
        <a:ln>
          <a:noFill/>
        </a:ln>
        <a:effectLst/>
      </c:spPr>
    </c:title>
    <c:autoTitleDeleted val="0"/>
    <c:plotArea>
      <c:layout>
        <c:manualLayout>
          <c:layoutTarget val="inner"/>
          <c:xMode val="edge"/>
          <c:yMode val="edge"/>
          <c:x val="0.293016666666667"/>
          <c:y val="0.155787037037037"/>
          <c:w val="0.420494444444444"/>
          <c:h val="0.700824074074074"/>
        </c:manualLayout>
      </c:layout>
      <c:pieChart>
        <c:varyColors val="1"/>
        <c:ser>
          <c:idx val="0"/>
          <c:order val="0"/>
          <c:tx>
            <c:strRef>
              <c:f>[工作簿1]Sheet1!$B$4</c:f>
              <c:strCache>
                <c:ptCount val="1"/>
                <c:pt idx="0">
                  <c:v>支出金额</c:v>
                </c:pt>
              </c:strCache>
            </c:strRef>
          </c:tx>
          <c:spPr>
            <a:effectLst>
              <a:outerShdw blurRad="63500" sx="102000" sy="102000" algn="ctr" rotWithShape="0">
                <a:prstClr val="black">
                  <a:alpha val="40000"/>
                </a:prstClr>
              </a:outerShdw>
            </a:effectLst>
          </c:spPr>
          <c:explosion val="0"/>
          <c:dPt>
            <c:idx val="0"/>
            <c:bubble3D val="0"/>
            <c:spPr>
              <a:solidFill>
                <a:srgbClr val="FFA80E"/>
              </a:solidFill>
              <a:ln w="19050">
                <a:solidFill>
                  <a:schemeClr val="lt1"/>
                </a:solidFill>
              </a:ln>
              <a:effectLst>
                <a:outerShdw blurRad="63500" sx="102000" sy="102000" algn="ctr" rotWithShape="0">
                  <a:prstClr val="black">
                    <a:alpha val="40000"/>
                  </a:prstClr>
                </a:outerShdw>
              </a:effectLst>
            </c:spPr>
          </c:dPt>
          <c:dPt>
            <c:idx val="1"/>
            <c:bubble3D val="0"/>
            <c:spPr>
              <a:solidFill>
                <a:srgbClr val="56627E"/>
              </a:solidFill>
              <a:ln w="19050">
                <a:solidFill>
                  <a:schemeClr val="lt1"/>
                </a:solidFill>
              </a:ln>
              <a:effectLst>
                <a:outerShdw blurRad="63500" sx="102000" sy="102000" algn="ctr" rotWithShape="0">
                  <a:prstClr val="black">
                    <a:alpha val="40000"/>
                  </a:prstClr>
                </a:outerShdw>
              </a:effectLst>
            </c:spPr>
          </c:dPt>
          <c:dPt>
            <c:idx val="2"/>
            <c:bubble3D val="0"/>
            <c:spPr>
              <a:solidFill>
                <a:srgbClr val="C6D6F6"/>
              </a:solidFill>
              <a:ln w="19050">
                <a:solidFill>
                  <a:schemeClr val="lt1"/>
                </a:solidFill>
              </a:ln>
              <a:effectLst>
                <a:outerShdw blurRad="63500" sx="102000" sy="102000" algn="ctr"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[工作簿1]Sheet1!$A$5:$A$7</c:f>
              <c:strCache>
                <c:ptCount val="3"/>
                <c:pt idx="0">
                  <c:v>因公出国</c:v>
                </c:pt>
                <c:pt idx="1">
                  <c:v>公务用车购置及支行维护费支出</c:v>
                </c:pt>
                <c:pt idx="2">
                  <c:v>公务接待费支出决算</c:v>
                </c:pt>
              </c:strCache>
            </c:strRef>
          </c:cat>
          <c:val>
            <c:numRef>
              <c:f>[工作簿1]Sheet1!$B$5:$B$7</c:f>
              <c:numCache>
                <c:formatCode>General</c:formatCode>
                <c:ptCount val="3"/>
                <c:pt idx="0">
                  <c:v>0</c:v>
                </c:pt>
                <c:pt idx="1">
                  <c:v>16.97</c:v>
                </c:pt>
                <c:pt idx="2">
                  <c:v>0.5</c:v>
                </c:pt>
              </c:numCache>
            </c:numRef>
          </c:val>
        </c:ser>
        <c:ser>
          <c:idx val="1"/>
          <c:order val="1"/>
          <c:tx>
            <c:strRef>
              <c:f>[工作簿1]Sheet1!$C$4</c:f>
              <c:strCache>
                <c:ptCount val="1"/>
                <c:pt idx="0">
                  <c:v>完成预算%</c:v>
                </c:pt>
              </c:strCache>
            </c:strRef>
          </c:tx>
          <c:spPr>
            <a:effectLst>
              <a:outerShdw blurRad="63500" sx="102000" sy="102000" algn="ctr" rotWithShape="0">
                <a:prstClr val="black">
                  <a:alpha val="40000"/>
                </a:prstClr>
              </a:outerShdw>
            </a:effectLst>
          </c:spPr>
          <c:explosion val="0"/>
          <c:dPt>
            <c:idx val="0"/>
            <c:bubble3D val="0"/>
            <c:spPr>
              <a:solidFill>
                <a:srgbClr val="FFA80E"/>
              </a:solidFill>
              <a:ln w="19050">
                <a:solidFill>
                  <a:schemeClr val="lt1"/>
                </a:solidFill>
              </a:ln>
              <a:effectLst>
                <a:outerShdw blurRad="63500" sx="102000" sy="102000" algn="ctr" rotWithShape="0">
                  <a:prstClr val="black">
                    <a:alpha val="40000"/>
                  </a:prstClr>
                </a:outerShdw>
              </a:effectLst>
            </c:spPr>
          </c:dPt>
          <c:dPt>
            <c:idx val="1"/>
            <c:bubble3D val="0"/>
            <c:spPr>
              <a:solidFill>
                <a:srgbClr val="56627E"/>
              </a:solidFill>
              <a:ln w="19050">
                <a:solidFill>
                  <a:schemeClr val="lt1"/>
                </a:solidFill>
              </a:ln>
              <a:effectLst>
                <a:outerShdw blurRad="63500" sx="102000" sy="102000" algn="ctr" rotWithShape="0">
                  <a:prstClr val="black">
                    <a:alpha val="40000"/>
                  </a:prstClr>
                </a:outerShdw>
              </a:effectLst>
            </c:spPr>
          </c:dPt>
          <c:dPt>
            <c:idx val="2"/>
            <c:bubble3D val="0"/>
            <c:spPr>
              <a:solidFill>
                <a:srgbClr val="C6D6F6"/>
              </a:solidFill>
              <a:ln w="19050">
                <a:solidFill>
                  <a:schemeClr val="lt1"/>
                </a:solidFill>
              </a:ln>
              <a:effectLst>
                <a:outerShdw blurRad="63500" sx="102000" sy="102000" algn="ctr"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[工作簿1]Sheet1!$A$5:$A$7</c:f>
              <c:strCache>
                <c:ptCount val="3"/>
                <c:pt idx="0">
                  <c:v>因公出国</c:v>
                </c:pt>
                <c:pt idx="1">
                  <c:v>公务用车购置及支行维护费支出</c:v>
                </c:pt>
                <c:pt idx="2">
                  <c:v>公务接待费支出决算</c:v>
                </c:pt>
              </c:strCache>
            </c:strRef>
          </c:cat>
          <c:val>
            <c:numRef>
              <c:f>[工作簿1]Sheet1!$C$5:$C$7</c:f>
              <c:numCache>
                <c:formatCode>General</c:formatCode>
                <c:ptCount val="3"/>
                <c:pt idx="1" c:formatCode="0.00%">
                  <c:v>0.9714</c:v>
                </c:pt>
                <c:pt idx="2" c:formatCode="0.00%">
                  <c:v>0.0286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2.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3.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4.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5.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份&quot;,&quot;收支总计&quot;,&quot;增长率&quot;],[&quot;2020&quot;,&quot;1853.29&quot;,&quot;&quot;],[&quot;2021&quot;,&quot;1990.12&quot;,&quot;7.38%&quot;]]],&quot;dataType&quot;:&quot;cross-table&quot;,&quot;download&quot;:false,&quot;srcType&quot;:&quot;local&quot;,&quot;url&quot;:&quot;&quot;},&quot;function_type&quot;:[&quot;柱形图&quot;],&quot;gif&quot;:&quot;https://image.dycharts.com/3612096174443311105.gif?imageView2/2/w/500/quality/90&quot;,&quot;isDocNotWatermark&quot;:true,&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null],&quot;stepOfLabel&quot;:null}},&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null,&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30.37974683544303,&quot;ratio&quot;:null,&quot;rotate&quot;:0,&quot;width&quot;:521.5189873417722},&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id&quot;:&quot;64&quot;}"/>
    <wpswe:property key="isUseCommonErrorPage" value="false"/>
    <wpswe:property key="loadingImage" value="res:/icons/DsWebShapeDefaultPage.svg"/>
  </wpswe:properties>
  <wpswe:watchingCache>
    <wpswe:linkPath>C:/Users/Administrator/AppData/Local/Temp/wps.xPQzJM/Workbook2.xlsx</wpswe:linkPath>
    <wpswe:dataRange>
      <wpswe:key>data_source</wpswe:key>
      <wpswe:context>Sheet1!$A$4:$C$6</wpswe:context>
      <wpswe:count>3</wpswe:count>
      <wpswe:cells wpswe:idx="0">
        <wpswe:count>3</wpswe:count>
        <wpswe:formatCode>General</wpswe:formatCode>
        <wpswe:cell wpswe:idx="0">
          <wpswe:value>年份</wpswe:value>
        </wpswe:cell>
        <wpswe:cell wpswe:idx="1">
          <wpswe:value>收支总计</wpswe:value>
        </wpswe:cell>
        <wpswe:cell wpswe:idx="2">
          <wpswe:value>增长率</wpswe:value>
        </wpswe:cell>
      </wpswe:cells>
      <wpswe:cells wpswe:idx="1">
        <wpswe:count>3</wpswe:count>
        <wpswe:formatCode>General</wpswe:formatCode>
        <wpswe:cell wpswe:idx="0">
          <wpswe:value>2020</wpswe:value>
        </wpswe:cell>
        <wpswe:cell wpswe:idx="1">
          <wpswe:value>1853.29</wpswe:value>
        </wpswe:cell>
      </wpswe:cells>
      <wpswe:cells wpswe:idx="2">
        <wpswe:count>3</wpswe:count>
        <wpswe:formatCode>General</wpswe:formatCode>
        <wpswe:cell wpswe:idx="0">
          <wpswe:value>2021</wpswe:value>
        </wpswe:cell>
        <wpswe:cell wpswe:idx="1">
          <wpswe:value>1990.12</wpswe:value>
        </wpswe:cell>
        <wpswe:cell wpswe:idx="2" wpswe:formatCode="0.00%">
          <wpswe:value>0.0738</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https://clientweb.docer.wps.cn/ds/1.0.0/webShapeView?id=64&amp;dschart_id=3612096174443311105-3&amp;from=resource&amp;productEntry=docers&amp;sceneEntry=docrec&amp;flag=1003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8982116793344&quot;,&quot;chart_type&quot;:&quot;饼图&quot;,&quot;classifty_type&quot;:[&quot;占比类&quot;],&quot;dataSrc&quot;:{&quot;data&quot;:[[[&quot;项目&quot;,&quot;收入金额&quot;,&quot;占比&quot;],[&quot;一般公共预算财政拨款收入&quot;,&quot;1849.94&quot;,&quot;100.00%&quot;],[&quot;&quot;,&quot;&quot;,&quot;&quot;]]],&quot;dataType&quot;:&quot;obejct-table&quot;,&quot;download&quot;:false,&quot;srcType&quot;:&quot;local&quot;,&quot;url&quot;:&quot;&quot;},&quot;function_type&quot;:[&quot;饼图&quot;],&quot;gif&quot;:&quot;https://image.dycharts.com/444746070325460997.gif?imageView2/2/w/500/quality/90&quot;,&quot;isDocNotWatermark&quot;:true,&quot;isFree&quot;:&quot;0&quot;,&quot;label&quot;:&quot;&lt;e-piebasic-chart&gt;&quot;,&quot;position&quot;:{&quot;left&quot;:0,&quot;top&quot;:0},&quot;price&quot;:0,&quot;projectId&quot;:&quot;164759430046172228&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0,1],&quot;type&quot;:&quot;multiple&quot;},&quot;display&quot;:{&quot;borderColor&quot;:&quot;#FFFFFF&quot;,&quot;borderWidth&quot;:2.5,&quot;cornerRadius&quot;:0,&quot;fillOpacity&quot;:1,&quot;gapPercentage&quot;:0.8,&quot;innerRadiusRatio&quot;:0.046},&quot;label&quot;:{&quot;contentChoice&quot;:[&quot;百分比&quot;],&quot;contentOption&quot;:[&quot;名称&quot;,&quot;百分比&quot;,&quot;数值&quot;],&quot;display&quot;:true,&quot;positionChoice&quot;:&quot;内部周向&quot;,&quot;positionOptions&quot;:[&quot;内部周向&quot;,&quot;内部水平&quot;,&quot;外部&quot;],&quot;suffix&quot;:&quot;&quot;,&quot;textLabel&quot;:{&quot;color&quot;:&quot;#ffffffff&quot;,&quot;fontFamily&quot;:&quot;OPPOSans-M&quot;,&quot;fontSize&quot;:&quot;20&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null,&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true,&quot;shadowAngle&quot;:&quot;45&quot;,&quot;shadowBlur&quot;:&quot;5&quot;,&quot;shadowColor&quot;:&quot;#a8a8a7cc&quot;,&quot;shadowOpacity&quot;:&quot;100&quot;,&quot;shadowRadius&quot;:&quot;3&quot;},&quot;size&quot;:{&quot;height&quot;:216,&quot;ratio&quot;:null,&quot;rotate&quot;:0,&quot;width&quot;:360},&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单位：%&quot;,&quot;xPosition&quot;:&quot;left&quot;,&quot;yPosition&quot;:&quot;top&quot;},&quot;watermarkDisplay&quot;:{&quot;imgHeight&quot;:&quot;80&quot;,&quot;imgUrl&quot;:&quot;https://ss1.dycharts.com/newchartWatermark.png&quot;,&quot;imgWidth&quot;:&quot;80&quot;,&quot;show&quot;:false}},&quot;templateId&quot;:&quot;444746070325460997-7&quot;,&quot;templateSwitch&quot;:&quot;key-value&quot;,&quot;theme&quot;:{&quot;_id&quot;:18,&quot;axis&quot;:{&quot;color&quot;:&quot;#a1a1a1 &quot;},&quot;backgroundColor&quot;:&quot;#FFFFFF&quot;,&quot;colors&quot;:[&quot;#3F3F3Fff&quot;,&quot;#EC4233ff&quot;,&quot;#FBBB06ff&quot;,&quot;#3F3F3Fff&quot;,&quot;#EC4233ff&quot;,&quot;#FBBB06ff&quot;,&quot;#3F3F3Fff&quot;,&quot;#EC4233ff&quot;,&quot;#FBBB06ff&quot;,&quot;#3F3F3Fff&quot;,&quot;#EC4233ff&quot;,&quot;#FBBB06ff&quot;,&quot;#3F3F3Fff&quot;,&quot;#EC4233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images/444746070325460997-7.png&quot;,&quot;title&quot;:&quot;基础饼图&quot;,&quot;type&quot;:&quot;chart&quot;},&quot;dschart_id&quot;:&quot;444746070325460997-7&quot;,&quot;id&quot;:&quot;99&quot;}"/>
    <wpswe:property key="isUseCommonErrorPage" value="false"/>
    <wpswe:property key="loadingImage" value="res:/icons/DsWebShapeDefaultPage.svg"/>
  </wpswe:properties>
  <wpswe:watchingCache>
    <wpswe:linkPath>C:/Users/Administrator/AppData/Local/Temp/wps.WJWIhJ/Workbook4.xlsx</wpswe:linkPath>
    <wpswe:dataRange>
      <wpswe:key>data_source</wpswe:key>
      <wpswe:context>Sheet1!$A$4:$C$6</wpswe:context>
      <wpswe:count>3</wpswe:count>
      <wpswe:cells wpswe:idx="0">
        <wpswe:count>3</wpswe:count>
        <wpswe:formatCode>General</wpswe:formatCode>
        <wpswe:cell wpswe:idx="0">
          <wpswe:value>项目</wpswe:value>
        </wpswe:cell>
        <wpswe:cell wpswe:idx="1">
          <wpswe:value>收入金额</wpswe:value>
        </wpswe:cell>
        <wpswe:cell wpswe:idx="2">
          <wpswe:value>占比</wpswe:value>
        </wpswe:cell>
      </wpswe:cells>
      <wpswe:cells wpswe:idx="1">
        <wpswe:count>3</wpswe:count>
        <wpswe:formatCode>General</wpswe:formatCode>
        <wpswe:cell wpswe:idx="0">
          <wpswe:value>一般公共预算财政拨款收入</wpswe:value>
        </wpswe:cell>
        <wpswe:cell wpswe:idx="1">
          <wpswe:value>1849.94</wpswe:value>
        </wpswe:cell>
        <wpswe:cell wpswe:idx="2" wpswe:formatCode="0.00%">
          <wpswe:value>1</wpswe:value>
        </wpswe:cell>
      </wpswe:cells>
      <wpswe:cells wpswe:idx="2">
        <wpswe:count>3</wpswe:count>
        <wpswe:formatCode>General</wpswe:formatCode>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https://clientweb.docer.wps.cn/ds/1.0.0/webShapeView?id=99&amp;dschart_id=444746070325460997-7&amp;from=resource&amp;productEntry=docers&amp;sceneEntry=docrec&amp;flag=1003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年份&quot;,&quot;一般公共预算财政拨款支出&quot;,&quot;增长比例&quot;],[&quot;2020&quot;,&quot;1713.11&quot;,&quot;&quot;],[&quot;2021&quot;,&quot;1866.77&quot;,&quot;8.97%&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grid&quot;:{&quot;color&quot;:&quot;#e1e1e1&quot;,&quot;gridLineWidth&quot;:&quot;2&quot;,&quot;lineStyle&quot;:&quot;dashline&quot;,&quot;show&quot;:&quot;x&quot;},&quot;x&quot;:{&quot;axisColor&quot;:&quot;#777777&quot;,&quot;axisLineWidth&quot;:&quot;1.5&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null}},&quot;backgroundColor&quot;:&quot;&quot;,&quot;colors&quot;:{&quot;colorControlers&quot;:[&quot;single&quot;,&quot;multiple&quot;,&quot;linear&quot;],&quot;list&quot;:[0,1,2],&quot;type&quot;:&quot;single&quot;},&quot;display&quot;:{&quot;bar4CornerRadius&quot;:[0,0,0,0],&quot;barWidthPercent&quot;:&quot;0.47&quot;,&quot;borderColor&quot;:null,&quot;borderWidth&quot;:&quot;0&quot;,&quot;fillOpacity&quot;:&quot;1&quot;},&quot;font&quot;:{&quot;color&quot;:&quot;#333333&quot;,&quot;fontFamily&quot;:&quot;黑体&quot;,&quot;fontSize&quot;:&quot;16&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null,&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86.3636363636364,&quot;ratio&quot;:null,&quot;rotate&quot;:0,&quot;width&quot;:478.1818181818182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key-value&quot;,&quot;theme&quot;:{&quot;axis&quot;:{&quot;color&quot;:&quot;#a1a1a1&quot;},&quot;backgroundColor&quot;:&quot;#FFFFFF&quot;,&quot;colors&quot;:[&quot;#4150D8&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images/444734748594536323.png&quot;,&quot;title&quot;:&quot;基础柱状图&quot;,&quot;type&quot;:&quot;chart&quot;},&quot;dschart_id&quot;:&quot;444734748594536323&quot;,&quot;id&quot;:&quot;331&quot;}"/>
    <wpswe:property key="isUseCommonErrorPage" value="false"/>
    <wpswe:property key="loadingImage" value="res:/icons/DsWebShapeDefaultPage.svg"/>
  </wpswe:properties>
  <wpswe:watchingCache>
    <wpswe:linkPath>C:/Users/Administrator/AppData/Local/Temp/wps.Hoklns/Workbook3.xlsx</wpswe:linkPath>
    <wpswe:dataRange>
      <wpswe:key>data_source</wpswe:key>
      <wpswe:context>Sheet1!$A$4:$C$6</wpswe:context>
      <wpswe:count>3</wpswe:count>
      <wpswe:cells wpswe:idx="0">
        <wpswe:count>3</wpswe:count>
        <wpswe:formatCode>General</wpswe:formatCode>
        <wpswe:cell wpswe:idx="0">
          <wpswe:value>年份</wpswe:value>
        </wpswe:cell>
        <wpswe:cell wpswe:idx="1">
          <wpswe:value>一般公共预算财政拨款支出</wpswe:value>
        </wpswe:cell>
        <wpswe:cell wpswe:idx="2">
          <wpswe:value>增长比例</wpswe:value>
        </wpswe:cell>
      </wpswe:cells>
      <wpswe:cells wpswe:idx="1">
        <wpswe:count>3</wpswe:count>
        <wpswe:formatCode>General</wpswe:formatCode>
        <wpswe:cell wpswe:idx="0">
          <wpswe:value>2020</wpswe:value>
        </wpswe:cell>
        <wpswe:cell wpswe:idx="1">
          <wpswe:value>1713.11</wpswe:value>
        </wpswe:cell>
      </wpswe:cells>
      <wpswe:cells wpswe:idx="2">
        <wpswe:count>3</wpswe:count>
        <wpswe:formatCode>General</wpswe:formatCode>
        <wpswe:cell wpswe:idx="0">
          <wpswe:value>2021</wpswe:value>
        </wpswe:cell>
        <wpswe:cell wpswe:idx="1">
          <wpswe:value>1866.77</wpswe:value>
        </wpswe:cell>
        <wpswe:cell wpswe:idx="2" wpswe:formatCode="0.00%">
          <wpswe:value>0.0897</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https://clientweb.docer.wps.cn/ds/1.0.0/webShapeView?id=331&amp;dschart_id=444734748594536323&amp;from=resource&amp;productEntry=docers&amp;sceneEntry=docrec&amp;flag=1003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项目&quot;,&quot;支出金额&quot;,&quot;完成率&quot;],[&quot;公共安全支出检察行政运行&quot;,&quot;816.83&quot;,&quot;100%&quot;],[&quot;公共安全支出检察监督事务&quot;,&quot;463.65&quot;,&quot;100%&quot;],[&quot;公共安全支出检察其他检察&quot;,&quot;306.18&quot;,&quot;100%&quot;],[&quot;社会保障和就业支出行政事业单位养老支出行政单位离退休&quot;,&quot;0.07&quot;,&quot;100%&quot;],[&quot;社会保障和就业支出机关事业单位基本养老保险缴费支出&quot;,&quot;78.61&quot;,&quot;100%&quot;],[&quot;社会保障和就业支出机关事业单位职业年金缴费&quot;,&quot;8.93&quot;,&quot;100%&quot;],[&quot;社会保障和就业支出其他行政事业单位养老&quot;,&quot;72.47&quot;,&quot;100%&quot;],[&quot;社会保障和就业支出抚恤其他优抚支出&quot;,&quot;1.8&quot;,&quot;100%&quot;],[&quot;卫生健康支出计划生育事务其他计划生育事务&quot;,&quot;0.07&quot;,&quot;100%&quot;],[&quot;卫生健康支出行政事业单位医疗行政单位医疗&quot;,&quot;29.48&quot;,&quot;100%&quot;],[&quot;住房保障支出住房改革支出住房公积金&quot;,&quot;88.68&quot;,&quot;100%&quot;]]],&quot;dataType&quot;:&quot;obejct-table&quot;,&quot;download&quot;:false,&quot;srcType&quot;:&quot;local&quot;,&quot;url&quot;:&quot;&quot;},&quot;function_type&quot;:[&quot;饼图&quot;],&quot;gif&quot;:&quot;//web.docer.wpscdn.cn/docer/ds-page/images/444746070325460997.gif?imageView2/2/w/500/quality/90&quot;,&quot;isDocNotWatermark&quot;:true,&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null,&quot;backgroundColor&quot;:&quot;&quot;,&quot;colors&quot;:{&quot;colorControlers&quot;:[&quot;multiple&quot;,&quot;linear&quot;],&quot;list&quot;:[0,1,2,3,4,5,6,7,8,9,10,11],&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false,&quot;positionChoice&quot;:&quot;内部水平&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null,&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485.45454545454544,&quot;ratio&quot;:null,&quot;rotate&quot;:0,&quot;width&quot;:591.8181818181818},&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E8hjxBcbsDqAkMBMmTgoN2.D0C288B1.jpg?imageView2/2/w/500/quality/90&quot;,&quot;title&quot;:&quot;基础饼图&quot;,&quot;type&quot;:&quot;chart&quot;},&quot;dschart_id&quot;:&quot;444746070325460997&quot;,&quot;id&quot;:&quot;50&quot;}"/>
    <wpswe:property key="isUseCommonErrorPage" value="false"/>
    <wpswe:property key="loadingImage" value="res:/icons/DsWebShapeDefaultPage.svg"/>
  </wpswe:properties>
  <wpswe:watchingCache>
    <wpswe:linkPath>C:/Users/Administrator/AppData/Local/Temp/wps.Apexef/Workbook1.xlsx</wpswe:linkPath>
    <wpswe:dataRange>
      <wpswe:key>data_source</wpswe:key>
      <wpswe:context>Sheet1!$B$5:$D$16</wpswe:context>
      <wpswe:count>12</wpswe:count>
      <wpswe:cells wpswe:idx="0">
        <wpswe:count>3</wpswe:count>
        <wpswe:formatCode>General</wpswe:formatCode>
        <wpswe:cell wpswe:idx="0">
          <wpswe:value>项目</wpswe:value>
        </wpswe:cell>
        <wpswe:cell wpswe:idx="1">
          <wpswe:value>支出金额</wpswe:value>
        </wpswe:cell>
        <wpswe:cell wpswe:idx="2">
          <wpswe:value>完成率</wpswe:value>
        </wpswe:cell>
      </wpswe:cells>
      <wpswe:cells wpswe:idx="1">
        <wpswe:count>3</wpswe:count>
        <wpswe:formatCode>General</wpswe:formatCode>
        <wpswe:cell wpswe:idx="0">
          <wpswe:value>公共安全支出检察行政运行</wpswe:value>
        </wpswe:cell>
        <wpswe:cell wpswe:idx="1">
          <wpswe:value>816.83</wpswe:value>
        </wpswe:cell>
        <wpswe:cell wpswe:idx="2" wpswe:formatCode="0%">
          <wpswe:value>1</wpswe:value>
        </wpswe:cell>
      </wpswe:cells>
      <wpswe:cells wpswe:idx="2">
        <wpswe:count>3</wpswe:count>
        <wpswe:formatCode>General</wpswe:formatCode>
        <wpswe:cell wpswe:idx="0">
          <wpswe:value>公共安全支出检察监督事务</wpswe:value>
        </wpswe:cell>
        <wpswe:cell wpswe:idx="1">
          <wpswe:value>463.65</wpswe:value>
        </wpswe:cell>
        <wpswe:cell wpswe:idx="2" wpswe:formatCode="0%">
          <wpswe:value>1</wpswe:value>
        </wpswe:cell>
      </wpswe:cells>
      <wpswe:cells wpswe:idx="3">
        <wpswe:count>3</wpswe:count>
        <wpswe:formatCode>General</wpswe:formatCode>
        <wpswe:cell wpswe:idx="0">
          <wpswe:value>公共安全支出检察其他检察</wpswe:value>
        </wpswe:cell>
        <wpswe:cell wpswe:idx="1">
          <wpswe:value>306.18</wpswe:value>
        </wpswe:cell>
        <wpswe:cell wpswe:idx="2" wpswe:formatCode="0%">
          <wpswe:value>1</wpswe:value>
        </wpswe:cell>
      </wpswe:cells>
      <wpswe:cells wpswe:idx="4">
        <wpswe:count>3</wpswe:count>
        <wpswe:formatCode>General</wpswe:formatCode>
        <wpswe:cell wpswe:idx="0">
          <wpswe:value>社会保障和就业支出行政事业单位养老支出行政单位离退休</wpswe:value>
        </wpswe:cell>
        <wpswe:cell wpswe:idx="1">
          <wpswe:value>0.07</wpswe:value>
        </wpswe:cell>
        <wpswe:cell wpswe:idx="2" wpswe:formatCode="0%">
          <wpswe:value>1</wpswe:value>
        </wpswe:cell>
      </wpswe:cells>
      <wpswe:cells wpswe:idx="5">
        <wpswe:count>3</wpswe:count>
        <wpswe:formatCode>General</wpswe:formatCode>
        <wpswe:cell wpswe:idx="0">
          <wpswe:value>社会保障和就业支出机关事业单位基本养老保险缴费支出</wpswe:value>
        </wpswe:cell>
        <wpswe:cell wpswe:idx="1">
          <wpswe:value>78.61</wpswe:value>
        </wpswe:cell>
        <wpswe:cell wpswe:idx="2" wpswe:formatCode="0%">
          <wpswe:value>1</wpswe:value>
        </wpswe:cell>
      </wpswe:cells>
      <wpswe:cells wpswe:idx="6">
        <wpswe:count>3</wpswe:count>
        <wpswe:formatCode>General</wpswe:formatCode>
        <wpswe:cell wpswe:idx="0">
          <wpswe:value>社会保障和就业支出机关事业单位职业年金缴费</wpswe:value>
        </wpswe:cell>
        <wpswe:cell wpswe:idx="1">
          <wpswe:value>8.93</wpswe:value>
        </wpswe:cell>
        <wpswe:cell wpswe:idx="2" wpswe:formatCode="0%">
          <wpswe:value>1</wpswe:value>
        </wpswe:cell>
      </wpswe:cells>
      <wpswe:cells wpswe:idx="7">
        <wpswe:count>3</wpswe:count>
        <wpswe:formatCode>General</wpswe:formatCode>
        <wpswe:cell wpswe:idx="0">
          <wpswe:value>社会保障和就业支出其他行政事业单位养老</wpswe:value>
        </wpswe:cell>
        <wpswe:cell wpswe:idx="1">
          <wpswe:value>72.47</wpswe:value>
        </wpswe:cell>
        <wpswe:cell wpswe:idx="2" wpswe:formatCode="0%">
          <wpswe:value>1</wpswe:value>
        </wpswe:cell>
      </wpswe:cells>
      <wpswe:cells wpswe:idx="8">
        <wpswe:count>3</wpswe:count>
        <wpswe:formatCode>General</wpswe:formatCode>
        <wpswe:cell wpswe:idx="0">
          <wpswe:value>社会保障和就业支出抚恤其他优抚支出</wpswe:value>
        </wpswe:cell>
        <wpswe:cell wpswe:idx="1">
          <wpswe:value>1.8</wpswe:value>
        </wpswe:cell>
        <wpswe:cell wpswe:idx="2" wpswe:formatCode="0%">
          <wpswe:value>1</wpswe:value>
        </wpswe:cell>
      </wpswe:cells>
      <wpswe:cells wpswe:idx="9">
        <wpswe:count>3</wpswe:count>
        <wpswe:formatCode>General</wpswe:formatCode>
        <wpswe:cell wpswe:idx="0">
          <wpswe:value>卫生健康支出计划生育事务其他计划生育事务</wpswe:value>
        </wpswe:cell>
        <wpswe:cell wpswe:idx="1">
          <wpswe:value>0.07</wpswe:value>
        </wpswe:cell>
        <wpswe:cell wpswe:idx="2" wpswe:formatCode="0%">
          <wpswe:value>1</wpswe:value>
        </wpswe:cell>
      </wpswe:cells>
      <wpswe:cells wpswe:idx="10">
        <wpswe:count>3</wpswe:count>
        <wpswe:formatCode>General</wpswe:formatCode>
        <wpswe:cell wpswe:idx="0">
          <wpswe:value>卫生健康支出行政事业单位医疗行政单位医疗</wpswe:value>
        </wpswe:cell>
        <wpswe:cell wpswe:idx="1">
          <wpswe:value>29.48</wpswe:value>
        </wpswe:cell>
        <wpswe:cell wpswe:idx="2" wpswe:formatCode="0%">
          <wpswe:value>1</wpswe:value>
        </wpswe:cell>
      </wpswe:cells>
      <wpswe:cells wpswe:idx="11">
        <wpswe:count>3</wpswe:count>
        <wpswe:formatCode>General</wpswe:formatCode>
        <wpswe:cell wpswe:idx="0">
          <wpswe:value>住房保障支出住房改革支出住房公积金</wpswe:value>
        </wpswe:cell>
        <wpswe:cell wpswe:idx="1">
          <wpswe:value>88.68</wpswe:value>
        </wpswe:cell>
        <wpswe:cell wpswe:idx="2" wpswe:formatCode="0%">
          <wpswe:value>1</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https://clientweb.docer.wps.cn/ds/1.0.0/webShapeView?id=50&amp;dschart_id=444746070325460997&amp;from=resource&amp;productEntry=docers&amp;sceneEntry=docrec&amp;flag=1003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项目&quot;,&quot;支出金额&quot;,&quot;完成预算%&quot;],[&quot;三公经费财政拨款支出决算&quot;,&quot;17.47&quot;,&quot;43.59%&quot;]]],&quot;dataType&quot;:&quot;cross-table&quot;,&quot;download&quot;:false,&quot;srcType&quot;:&quot;local&quot;,&quot;url&quot;:&quot;&quot;},&quot;function_type&quot;:[&quot;柱形图&quot;],&quot;gif&quot;:&quot;https://image.dycharts.com/3612096174443311105.gif?imageView2/2/w/500/quality/90&quot;,&quot;isDocNotWatermark&quot;:true,&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null],&quot;stepOfLabel&quot;:null}},&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null,&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536.3636363636364,&quot;ratio&quot;:null,&quot;rotate&quot;:0,&quot;width&quot;:518.1818181818181},&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id&quot;:&quot;64&quot;}"/>
    <wpswe:property key="isUseCommonErrorPage" value="false"/>
    <wpswe:property key="loadingImage" value="res:/icons/DsWebShapeDefaultPage.svg"/>
  </wpswe:properties>
  <wpswe:watchingCache>
    <wpswe:linkPath>C:/Users/Administrator/AppData/Local/Temp/wps.okchVv/Workbook5.xlsx</wpswe:linkPath>
    <wpswe:dataRange>
      <wpswe:key>data_source</wpswe:key>
      <wpswe:context>Sheet1!$A$4:$C$5</wpswe:context>
      <wpswe:count>2</wpswe:count>
      <wpswe:cells wpswe:idx="0">
        <wpswe:count>3</wpswe:count>
        <wpswe:formatCode>General</wpswe:formatCode>
        <wpswe:cell wpswe:idx="0">
          <wpswe:value>项目</wpswe:value>
        </wpswe:cell>
        <wpswe:cell wpswe:idx="1">
          <wpswe:value>支出金额</wpswe:value>
        </wpswe:cell>
        <wpswe:cell wpswe:idx="2">
          <wpswe:value>完成预算%</wpswe:value>
        </wpswe:cell>
      </wpswe:cells>
      <wpswe:cells wpswe:idx="1">
        <wpswe:count>3</wpswe:count>
        <wpswe:formatCode>General</wpswe:formatCode>
        <wpswe:cell wpswe:idx="0">
          <wpswe:value>三公经费财政拨款支出决算</wpswe:value>
        </wpswe:cell>
        <wpswe:cell wpswe:idx="1">
          <wpswe:value>17.47</wpswe:value>
        </wpswe:cell>
        <wpswe:cell wpswe:idx="2" wpswe:formatCode="0.00%">
          <wpswe:value>0.4359</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https://clientweb.docer.wps.cn/ds/1.0.0/webShapeView?id=64&amp;dschart_id=3612096174443311105-3&amp;from=resource&amp;productEntry=docers&amp;sceneEntry=docrec&amp;flag=1003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16933</Words>
  <Characters>18481</Characters>
  <Lines>61</Lines>
  <Paragraphs>17</Paragraphs>
  <TotalTime>12</TotalTime>
  <ScaleCrop>false</ScaleCrop>
  <LinksUpToDate>false</LinksUpToDate>
  <CharactersWithSpaces>18591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peter</cp:lastModifiedBy>
  <cp:lastPrinted>2023-04-12T07:19:00Z</cp:lastPrinted>
  <dcterms:modified xsi:type="dcterms:W3CDTF">2023-09-18T10:47:02Z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35B9F2179E9D432D80FCF163AC94EB96_13</vt:lpwstr>
  </property>
</Properties>
</file>